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 xml:space="preserve">3GPP TSG-SA WG1 Meeting #101 </w:t>
      </w:r>
      <w:r>
        <w:rPr>
          <w:rFonts w:ascii="Arial" w:hAnsi="Arial" w:eastAsia="MS Mincho" w:cs="Arial"/>
          <w:b/>
          <w:sz w:val="24"/>
          <w:szCs w:val="24"/>
          <w:lang w:eastAsia="ja-JP"/>
        </w:rPr>
        <w:tab/>
      </w:r>
      <w:r>
        <w:rPr>
          <w:rFonts w:ascii="Arial" w:hAnsi="Arial" w:eastAsia="MS Mincho" w:cs="Arial"/>
          <w:bCs/>
          <w:sz w:val="24"/>
          <w:szCs w:val="24"/>
          <w:lang w:eastAsia="ja-JP"/>
        </w:rPr>
        <w:t>S1-23</w:t>
      </w:r>
      <w:r>
        <w:rPr>
          <w:rFonts w:hint="default" w:ascii="Arial" w:hAnsi="Arial" w:eastAsia="MS Mincho" w:cs="Arial"/>
          <w:bCs/>
          <w:sz w:val="24"/>
          <w:szCs w:val="24"/>
          <w:lang w:val="en-US" w:eastAsia="ja-JP"/>
        </w:rPr>
        <w:t>0147</w:t>
      </w:r>
    </w:p>
    <w:p>
      <w:pPr>
        <w:pBdr>
          <w:bottom w:val="single" w:color="auto" w:sz="4" w:space="1"/>
        </w:pBdr>
        <w:tabs>
          <w:tab w:val="right" w:pos="9214"/>
        </w:tabs>
        <w:rPr>
          <w:rFonts w:ascii="Arial" w:hAnsi="Arial" w:cs="Arial"/>
          <w:b/>
        </w:rPr>
      </w:pPr>
      <w:r>
        <w:rPr>
          <w:rFonts w:ascii="Arial" w:hAnsi="Arial" w:eastAsia="MS Mincho" w:cs="Arial"/>
          <w:b/>
          <w:sz w:val="24"/>
          <w:szCs w:val="24"/>
          <w:lang w:eastAsia="ja-JP"/>
        </w:rPr>
        <w:t xml:space="preserve">Athens, Greece, 20 – 24 </w:t>
      </w:r>
      <w:r>
        <w:rPr>
          <w:rFonts w:ascii="Arial" w:hAnsi="Arial" w:eastAsia="MS Mincho" w:cs="Arial"/>
          <w:b/>
          <w:sz w:val="24"/>
          <w:szCs w:val="24"/>
          <w:lang w:val="en-US" w:eastAsia="ja-JP"/>
        </w:rPr>
        <w:t>Feb</w:t>
      </w:r>
      <w:r>
        <w:rPr>
          <w:rFonts w:ascii="Arial" w:hAnsi="Arial" w:eastAsia="MS Mincho" w:cs="Arial"/>
          <w:b/>
          <w:sz w:val="24"/>
          <w:szCs w:val="24"/>
          <w:lang w:eastAsia="ja-JP"/>
        </w:rPr>
        <w:t>, 202</w:t>
      </w:r>
      <w:r>
        <w:rPr>
          <w:rFonts w:ascii="Arial" w:hAnsi="Arial" w:eastAsia="MS Mincho" w:cs="Arial"/>
          <w:b/>
          <w:sz w:val="24"/>
          <w:szCs w:val="24"/>
          <w:lang w:val="en-US" w:eastAsia="ja-JP"/>
        </w:rPr>
        <w:t xml:space="preserve">3                                            </w:t>
      </w:r>
      <w:r>
        <w:rPr>
          <w:rFonts w:ascii="Arial" w:hAnsi="Arial" w:eastAsia="MS Mincho" w:cs="Arial"/>
          <w:i/>
          <w:sz w:val="24"/>
          <w:szCs w:val="24"/>
          <w:lang w:eastAsia="ja-JP"/>
        </w:rPr>
        <w:t>(revision of S1-2</w:t>
      </w:r>
      <w:r>
        <w:rPr>
          <w:rFonts w:ascii="Arial" w:hAnsi="Arial" w:eastAsia="MS Mincho" w:cs="Arial"/>
          <w:i/>
          <w:sz w:val="24"/>
          <w:szCs w:val="24"/>
          <w:lang w:val="en-US" w:eastAsia="ja-JP"/>
        </w:rPr>
        <w:t>2xxxx</w:t>
      </w:r>
      <w:r>
        <w:rPr>
          <w:rFonts w:ascii="Arial" w:hAnsi="Arial" w:eastAsia="MS Mincho" w:cs="Arial"/>
          <w:i/>
          <w:sz w:val="24"/>
          <w:szCs w:val="24"/>
          <w:lang w:eastAsia="ja-JP"/>
        </w:rPr>
        <w:t>)</w:t>
      </w:r>
      <w:r>
        <w:rPr>
          <w:rFonts w:ascii="Arial" w:hAnsi="Arial" w:eastAsia="MS Mincho" w:cs="Arial"/>
          <w:b/>
          <w:sz w:val="24"/>
          <w:szCs w:val="24"/>
          <w:lang w:eastAsia="ja-JP"/>
        </w:rPr>
        <w:tab/>
      </w:r>
    </w:p>
    <w:p>
      <w:pPr>
        <w:tabs>
          <w:tab w:val="left" w:pos="1701"/>
        </w:tabs>
        <w:overflowPunct w:val="0"/>
        <w:autoSpaceDE w:val="0"/>
        <w:autoSpaceDN w:val="0"/>
        <w:adjustRightInd w:val="0"/>
        <w:textAlignment w:val="baseline"/>
        <w:rPr>
          <w:rFonts w:ascii="Arial" w:hAnsi="Arial" w:eastAsia="宋体"/>
          <w:sz w:val="24"/>
          <w:szCs w:val="24"/>
          <w:lang w:val="en-US" w:eastAsia="en-GB"/>
        </w:rPr>
      </w:pPr>
      <w:r>
        <w:rPr>
          <w:rFonts w:ascii="Arial" w:hAnsi="Arial" w:eastAsia="宋体"/>
          <w:sz w:val="24"/>
          <w:szCs w:val="24"/>
          <w:lang w:val="en-US" w:eastAsia="en-GB"/>
        </w:rPr>
        <w:t>Source:</w:t>
      </w:r>
      <w:r>
        <w:rPr>
          <w:rFonts w:ascii="Arial" w:hAnsi="Arial" w:eastAsia="宋体"/>
          <w:sz w:val="24"/>
          <w:szCs w:val="24"/>
          <w:lang w:val="en-US" w:eastAsia="en-GB"/>
        </w:rPr>
        <w:tab/>
      </w:r>
      <w:r>
        <w:rPr>
          <w:rFonts w:ascii="Arial" w:hAnsi="Arial" w:eastAsia="宋体"/>
          <w:sz w:val="24"/>
          <w:szCs w:val="24"/>
          <w:lang w:val="en-US" w:eastAsia="en-GB"/>
        </w:rPr>
        <w:t xml:space="preserve">China Mobile </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val="en-US" w:eastAsia="en-GB"/>
        </w:rPr>
        <w:t>pCR Title:</w:t>
      </w:r>
      <w:r>
        <w:rPr>
          <w:rFonts w:ascii="Arial" w:hAnsi="Arial" w:eastAsia="宋体"/>
          <w:sz w:val="24"/>
          <w:szCs w:val="24"/>
          <w:lang w:val="en-US" w:eastAsia="en-GB"/>
        </w:rPr>
        <w:tab/>
      </w:r>
      <w:r>
        <w:rPr>
          <w:rFonts w:hint="eastAsia" w:ascii="Arial" w:hAnsi="Arial" w:eastAsia="宋体"/>
          <w:sz w:val="24"/>
          <w:szCs w:val="24"/>
          <w:lang w:val="en-US" w:eastAsia="en-GB"/>
        </w:rPr>
        <w:t>Discussion about Consolidation on Potential Requirement of Sensing</w:t>
      </w:r>
    </w:p>
    <w:p>
      <w:pPr>
        <w:tabs>
          <w:tab w:val="left" w:pos="1701"/>
        </w:tabs>
        <w:overflowPunct w:val="0"/>
        <w:autoSpaceDE w:val="0"/>
        <w:autoSpaceDN w:val="0"/>
        <w:adjustRightInd w:val="0"/>
        <w:textAlignment w:val="baseline"/>
        <w:rPr>
          <w:rFonts w:ascii="Arial" w:hAnsi="Arial" w:eastAsia="宋体"/>
          <w:sz w:val="24"/>
          <w:szCs w:val="24"/>
          <w:lang w:val="en-US" w:eastAsia="en-GB"/>
        </w:rPr>
      </w:pPr>
      <w:r>
        <w:rPr>
          <w:rFonts w:ascii="Arial" w:hAnsi="Arial" w:eastAsia="宋体"/>
          <w:sz w:val="24"/>
          <w:szCs w:val="24"/>
          <w:lang w:val="en-US" w:eastAsia="en-GB"/>
        </w:rPr>
        <w:t>Draft Spec:</w:t>
      </w:r>
      <w:r>
        <w:rPr>
          <w:rFonts w:ascii="Arial" w:hAnsi="Arial" w:eastAsia="宋体"/>
          <w:sz w:val="24"/>
          <w:szCs w:val="24"/>
          <w:lang w:val="en-US" w:eastAsia="en-GB"/>
        </w:rPr>
        <w:tab/>
      </w:r>
      <w:r>
        <w:rPr>
          <w:rFonts w:ascii="Arial" w:hAnsi="Arial" w:eastAsia="宋体"/>
          <w:sz w:val="24"/>
          <w:szCs w:val="24"/>
          <w:lang w:val="en-US" w:eastAsia="en-GB"/>
        </w:rPr>
        <w:t>3GPP TR 22.837</w:t>
      </w:r>
      <w:bookmarkStart w:id="3" w:name="_GoBack"/>
      <w:bookmarkEnd w:id="3"/>
    </w:p>
    <w:p>
      <w:pPr>
        <w:tabs>
          <w:tab w:val="left" w:pos="1701"/>
        </w:tabs>
        <w:overflowPunct w:val="0"/>
        <w:autoSpaceDE w:val="0"/>
        <w:autoSpaceDN w:val="0"/>
        <w:adjustRightInd w:val="0"/>
        <w:textAlignment w:val="baseline"/>
        <w:rPr>
          <w:rFonts w:ascii="Arial" w:hAnsi="Arial" w:eastAsia="宋体"/>
          <w:sz w:val="24"/>
          <w:szCs w:val="24"/>
          <w:lang w:val="en-US" w:eastAsia="en-GB"/>
        </w:rPr>
      </w:pPr>
      <w:r>
        <w:rPr>
          <w:rFonts w:ascii="Arial" w:hAnsi="Arial" w:eastAsia="宋体"/>
          <w:sz w:val="24"/>
          <w:szCs w:val="24"/>
          <w:lang w:val="en-US" w:eastAsia="en-GB"/>
        </w:rPr>
        <w:t>Agenda item:</w:t>
      </w:r>
      <w:r>
        <w:rPr>
          <w:rFonts w:ascii="Arial" w:hAnsi="Arial" w:eastAsia="宋体"/>
          <w:sz w:val="24"/>
          <w:szCs w:val="24"/>
          <w:lang w:val="en-US" w:eastAsia="en-GB"/>
        </w:rPr>
        <w:tab/>
      </w:r>
      <w:r>
        <w:rPr>
          <w:rFonts w:ascii="Arial" w:hAnsi="Arial" w:eastAsia="宋体"/>
          <w:sz w:val="24"/>
          <w:szCs w:val="24"/>
          <w:lang w:val="en-US" w:eastAsia="en-GB"/>
        </w:rPr>
        <w:t>7.</w:t>
      </w:r>
      <w:r>
        <w:rPr>
          <w:rFonts w:hint="default" w:ascii="Arial" w:hAnsi="Arial" w:eastAsia="宋体"/>
          <w:sz w:val="24"/>
          <w:szCs w:val="24"/>
          <w:lang w:val="en-US" w:eastAsia="en-GB"/>
        </w:rPr>
        <w:t>1</w:t>
      </w:r>
    </w:p>
    <w:p>
      <w:pPr>
        <w:tabs>
          <w:tab w:val="left" w:pos="1701"/>
        </w:tabs>
        <w:overflowPunct w:val="0"/>
        <w:autoSpaceDE w:val="0"/>
        <w:autoSpaceDN w:val="0"/>
        <w:adjustRightInd w:val="0"/>
        <w:textAlignment w:val="baseline"/>
        <w:rPr>
          <w:rFonts w:ascii="Arial" w:hAnsi="Arial" w:eastAsia="宋体"/>
          <w:sz w:val="24"/>
          <w:szCs w:val="24"/>
          <w:lang w:val="en-US" w:eastAsia="en-GB"/>
        </w:rPr>
      </w:pPr>
      <w:r>
        <w:rPr>
          <w:rFonts w:ascii="Arial" w:hAnsi="Arial" w:eastAsia="宋体"/>
          <w:sz w:val="24"/>
          <w:szCs w:val="24"/>
          <w:lang w:val="en-US" w:eastAsia="en-GB"/>
        </w:rPr>
        <w:t>Document for:</w:t>
      </w:r>
      <w:r>
        <w:rPr>
          <w:rFonts w:ascii="Arial" w:hAnsi="Arial" w:eastAsia="宋体"/>
          <w:sz w:val="24"/>
          <w:szCs w:val="24"/>
          <w:lang w:val="en-US" w:eastAsia="en-GB"/>
        </w:rPr>
        <w:tab/>
      </w:r>
      <w:r>
        <w:rPr>
          <w:rFonts w:ascii="Arial" w:hAnsi="Arial" w:eastAsia="宋体"/>
          <w:sz w:val="24"/>
          <w:szCs w:val="24"/>
          <w:lang w:val="en-US" w:eastAsia="en-GB"/>
        </w:rPr>
        <w:t>Discussion</w:t>
      </w:r>
    </w:p>
    <w:p>
      <w:pPr>
        <w:tabs>
          <w:tab w:val="left" w:pos="1701"/>
        </w:tabs>
        <w:overflowPunct w:val="0"/>
        <w:autoSpaceDE w:val="0"/>
        <w:autoSpaceDN w:val="0"/>
        <w:adjustRightInd w:val="0"/>
        <w:textAlignment w:val="baseline"/>
        <w:rPr>
          <w:rFonts w:ascii="Arial" w:hAnsi="Arial" w:eastAsia="宋体"/>
          <w:sz w:val="24"/>
          <w:szCs w:val="24"/>
          <w:lang w:val="en-US" w:eastAsia="en-GB"/>
        </w:rPr>
      </w:pPr>
      <w:r>
        <w:rPr>
          <w:rFonts w:ascii="Arial" w:hAnsi="Arial" w:eastAsia="宋体"/>
          <w:sz w:val="24"/>
          <w:szCs w:val="24"/>
          <w:lang w:val="en-US" w:eastAsia="en-GB"/>
        </w:rPr>
        <w:t>Contact:</w:t>
      </w:r>
      <w:r>
        <w:rPr>
          <w:rFonts w:ascii="Arial" w:hAnsi="Arial" w:eastAsia="宋体"/>
          <w:sz w:val="24"/>
          <w:szCs w:val="24"/>
          <w:lang w:val="en-US" w:eastAsia="en-GB"/>
        </w:rPr>
        <w:tab/>
      </w:r>
      <w:r>
        <w:rPr>
          <w:rFonts w:hint="eastAsia" w:ascii="Arial" w:hAnsi="Arial" w:eastAsia="宋体"/>
          <w:sz w:val="24"/>
          <w:szCs w:val="24"/>
          <w:lang w:val="en-US" w:eastAsia="en-GB"/>
        </w:rPr>
        <w:t>Junan Peng (junanpeng@chinamobile.com)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lang w:val="en-US"/>
        </w:rPr>
      </w:pPr>
      <w:r>
        <w:rPr>
          <w:rFonts w:ascii="Arial" w:hAnsi="Arial" w:eastAsia="Calibri"/>
          <w:lang w:val="en-US"/>
        </w:rPr>
        <w:t xml:space="preserve">Abstract: it is proposed to discuss </w:t>
      </w:r>
      <w:r>
        <w:rPr>
          <w:rFonts w:hint="eastAsia" w:ascii="Arial" w:hAnsi="Arial" w:eastAsia="Calibri"/>
          <w:lang w:val="en-US"/>
        </w:rPr>
        <w:t xml:space="preserve">a way forward for </w:t>
      </w:r>
      <w:r>
        <w:rPr>
          <w:rFonts w:hint="default" w:ascii="Arial" w:hAnsi="Arial" w:eastAsia="Calibri"/>
          <w:lang w:val="en-US"/>
        </w:rPr>
        <w:t>the consolidation</w:t>
      </w:r>
      <w:r>
        <w:rPr>
          <w:rFonts w:ascii="Arial" w:hAnsi="Arial" w:eastAsia="Calibri"/>
          <w:lang w:val="en-US"/>
        </w:rPr>
        <w:t xml:space="preserve"> of p</w:t>
      </w:r>
      <w:r>
        <w:rPr>
          <w:rFonts w:hint="eastAsia" w:ascii="Arial" w:hAnsi="Arial" w:eastAsia="Calibri"/>
          <w:lang w:val="en-US"/>
        </w:rPr>
        <w:t>otential</w:t>
      </w:r>
      <w:r>
        <w:rPr>
          <w:rFonts w:ascii="Arial" w:hAnsi="Arial" w:eastAsia="Calibri"/>
          <w:lang w:val="en-US"/>
        </w:rPr>
        <w:t xml:space="preserve"> requirements of sense.</w:t>
      </w:r>
    </w:p>
    <w:p>
      <w:pPr>
        <w:rPr>
          <w:rFonts w:cs="Arial"/>
          <w:b/>
          <w:bCs/>
        </w:rPr>
      </w:pPr>
    </w:p>
    <w:p>
      <w:pPr>
        <w:pStyle w:val="2"/>
      </w:pPr>
      <w:bookmarkStart w:id="0" w:name="_Hlk125884464"/>
      <w:r>
        <w:t xml:space="preserve">Discussion </w:t>
      </w:r>
    </w:p>
    <w:p>
      <w:pPr>
        <w:overflowPunct w:val="0"/>
        <w:autoSpaceDE w:val="0"/>
        <w:autoSpaceDN w:val="0"/>
        <w:adjustRightInd w:val="0"/>
        <w:spacing w:before="120" w:after="120"/>
        <w:jc w:val="both"/>
        <w:textAlignment w:val="baseline"/>
        <w:rPr>
          <w:rFonts w:ascii="Arial" w:hAnsi="Arial" w:eastAsia="宋体" w:cs="Arial"/>
          <w:kern w:val="2"/>
          <w:sz w:val="21"/>
          <w:szCs w:val="22"/>
          <w:lang w:val="en-US" w:eastAsia="zh-CN"/>
        </w:rPr>
      </w:pPr>
      <w:r>
        <w:rPr>
          <w:rFonts w:ascii="Arial" w:hAnsi="Arial" w:eastAsia="宋体" w:cs="Arial"/>
          <w:kern w:val="2"/>
          <w:sz w:val="21"/>
          <w:szCs w:val="22"/>
          <w:lang w:eastAsia="zh-CN"/>
        </w:rPr>
        <w:t>During SA1#98</w:t>
      </w:r>
      <w:r>
        <w:rPr>
          <w:rFonts w:ascii="Arial" w:hAnsi="Arial" w:eastAsia="宋体" w:cs="Arial"/>
          <w:kern w:val="2"/>
          <w:sz w:val="21"/>
          <w:szCs w:val="22"/>
          <w:lang w:val="en-US" w:eastAsia="zh-CN"/>
        </w:rPr>
        <w:t>,</w:t>
      </w:r>
      <w:r>
        <w:rPr>
          <w:rFonts w:ascii="Arial" w:hAnsi="Arial" w:eastAsia="宋体" w:cs="Arial"/>
          <w:kern w:val="2"/>
          <w:sz w:val="21"/>
          <w:szCs w:val="22"/>
          <w:lang w:eastAsia="zh-CN"/>
        </w:rPr>
        <w:t xml:space="preserve"> SA1#99,</w:t>
      </w:r>
      <w:r>
        <w:rPr>
          <w:rFonts w:ascii="Arial" w:hAnsi="Arial" w:eastAsia="宋体" w:cs="Arial"/>
          <w:kern w:val="2"/>
          <w:sz w:val="21"/>
          <w:szCs w:val="22"/>
          <w:lang w:val="en-US" w:eastAsia="zh-CN"/>
        </w:rPr>
        <w:t xml:space="preserve"> and SA1#100</w:t>
      </w:r>
      <w:r>
        <w:rPr>
          <w:rFonts w:ascii="Arial" w:hAnsi="Arial" w:eastAsia="宋体" w:cs="Arial"/>
          <w:kern w:val="2"/>
          <w:sz w:val="21"/>
          <w:szCs w:val="22"/>
          <w:lang w:eastAsia="zh-CN"/>
        </w:rPr>
        <w:t xml:space="preserve">, </w:t>
      </w:r>
      <w:r>
        <w:rPr>
          <w:rFonts w:ascii="Arial" w:hAnsi="Arial" w:eastAsia="宋体" w:cs="Arial"/>
          <w:kern w:val="2"/>
          <w:sz w:val="21"/>
          <w:szCs w:val="22"/>
          <w:lang w:val="en-US" w:eastAsia="zh-CN"/>
        </w:rPr>
        <w:t xml:space="preserve">the study item of </w:t>
      </w:r>
      <w:r>
        <w:rPr>
          <w:rFonts w:ascii="Arial" w:hAnsi="Arial" w:eastAsia="Yu Mincho" w:cs="Arial"/>
          <w:kern w:val="2"/>
          <w:sz w:val="21"/>
          <w:szCs w:val="22"/>
          <w:lang w:eastAsia="zh-CN"/>
        </w:rPr>
        <w:t>Integrated Sensing and Communication</w:t>
      </w:r>
      <w:r>
        <w:rPr>
          <w:rFonts w:ascii="Arial" w:hAnsi="Arial" w:eastAsia="Yu Mincho" w:cs="Arial"/>
          <w:kern w:val="2"/>
          <w:sz w:val="21"/>
          <w:szCs w:val="22"/>
          <w:lang w:val="en-US" w:eastAsia="zh-CN"/>
        </w:rPr>
        <w:t xml:space="preserve"> has been </w:t>
      </w:r>
      <w:r>
        <w:rPr>
          <w:rFonts w:ascii="Arial" w:hAnsi="Arial" w:eastAsia="Calibri" w:cs="Arial"/>
          <w:lang w:val="en-US" w:eastAsia="zh-CN"/>
        </w:rPr>
        <w:t xml:space="preserve">discussed </w:t>
      </w:r>
      <w:r>
        <w:rPr>
          <w:rFonts w:ascii="Arial" w:hAnsi="Arial" w:eastAsia="Yu Mincho" w:cs="Arial"/>
          <w:kern w:val="2"/>
          <w:sz w:val="21"/>
          <w:szCs w:val="22"/>
          <w:lang w:val="en-US" w:eastAsia="zh-CN"/>
        </w:rPr>
        <w:t>widely</w:t>
      </w:r>
      <w:r>
        <w:rPr>
          <w:rFonts w:ascii="Arial" w:hAnsi="Arial" w:eastAsia="宋体" w:cs="Arial"/>
          <w:kern w:val="2"/>
          <w:sz w:val="21"/>
          <w:szCs w:val="22"/>
          <w:lang w:val="en-US" w:eastAsia="zh-CN"/>
        </w:rPr>
        <w:t xml:space="preserve"> and there are 26 </w:t>
      </w:r>
      <w:r>
        <w:rPr>
          <w:rFonts w:ascii="Arial" w:hAnsi="Arial" w:eastAsia="宋体" w:cs="Arial"/>
          <w:kern w:val="2"/>
          <w:sz w:val="21"/>
          <w:szCs w:val="22"/>
          <w:lang w:eastAsia="zh-CN"/>
        </w:rPr>
        <w:t>agreed</w:t>
      </w:r>
      <w:r>
        <w:rPr>
          <w:rFonts w:ascii="Arial" w:hAnsi="Arial" w:eastAsia="宋体" w:cs="Arial"/>
          <w:kern w:val="2"/>
          <w:sz w:val="21"/>
          <w:szCs w:val="22"/>
          <w:lang w:val="en-US" w:eastAsia="zh-CN"/>
        </w:rPr>
        <w:t xml:space="preserve"> use cases</w:t>
      </w:r>
      <w:bookmarkStart w:id="1" w:name="OLE_LINK1"/>
      <w:r>
        <w:rPr>
          <w:rFonts w:ascii="Arial" w:hAnsi="Arial" w:eastAsia="宋体" w:cs="Arial"/>
          <w:kern w:val="2"/>
          <w:sz w:val="21"/>
          <w:szCs w:val="22"/>
          <w:lang w:eastAsia="zh-CN"/>
        </w:rPr>
        <w:fldChar w:fldCharType="begin"/>
      </w:r>
      <w:r>
        <w:rPr>
          <w:rFonts w:ascii="Arial" w:hAnsi="Arial" w:eastAsia="宋体" w:cs="Arial"/>
          <w:kern w:val="2"/>
          <w:sz w:val="21"/>
          <w:szCs w:val="22"/>
          <w:lang w:eastAsia="zh-CN"/>
        </w:rPr>
        <w:instrText xml:space="preserve"> REF _Ref104802624 \r \h </w:instrText>
      </w:r>
      <w:r>
        <w:rPr>
          <w:rFonts w:ascii="Arial" w:hAnsi="Arial" w:eastAsia="宋体" w:cs="Arial"/>
          <w:kern w:val="2"/>
          <w:sz w:val="21"/>
          <w:szCs w:val="22"/>
          <w:lang w:eastAsia="zh-CN"/>
        </w:rPr>
        <w:fldChar w:fldCharType="separate"/>
      </w:r>
      <w:r>
        <w:rPr>
          <w:rFonts w:ascii="Arial" w:hAnsi="Arial" w:eastAsia="宋体" w:cs="Arial"/>
          <w:kern w:val="2"/>
          <w:sz w:val="21"/>
          <w:szCs w:val="22"/>
          <w:lang w:eastAsia="zh-CN"/>
        </w:rPr>
        <w:t xml:space="preserve"> </w:t>
      </w:r>
      <w:r>
        <w:rPr>
          <w:rFonts w:ascii="Arial" w:hAnsi="Arial" w:eastAsia="宋体" w:cs="Arial"/>
          <w:kern w:val="2"/>
          <w:sz w:val="21"/>
          <w:szCs w:val="22"/>
          <w:lang w:eastAsia="zh-CN"/>
        </w:rPr>
        <w:fldChar w:fldCharType="end"/>
      </w:r>
      <w:bookmarkEnd w:id="1"/>
      <w:r>
        <w:rPr>
          <w:rFonts w:ascii="Arial" w:hAnsi="Arial" w:eastAsia="宋体" w:cs="Arial"/>
          <w:kern w:val="2"/>
          <w:sz w:val="21"/>
          <w:szCs w:val="22"/>
          <w:lang w:val="en-US" w:eastAsia="zh-CN"/>
        </w:rPr>
        <w:t>involving the different sensing scenarios, which</w:t>
      </w:r>
      <w:r>
        <w:rPr>
          <w:rFonts w:ascii="Arial" w:hAnsi="Arial" w:eastAsia="宋体" w:cs="Arial"/>
          <w:kern w:val="2"/>
          <w:sz w:val="21"/>
          <w:szCs w:val="22"/>
          <w:lang w:eastAsia="zh-CN"/>
        </w:rPr>
        <w:t xml:space="preserve"> can</w:t>
      </w:r>
      <w:r>
        <w:rPr>
          <w:rFonts w:ascii="Arial" w:hAnsi="Arial" w:eastAsia="宋体" w:cs="Arial"/>
          <w:kern w:val="2"/>
          <w:sz w:val="21"/>
          <w:szCs w:val="22"/>
          <w:lang w:val="en-US" w:eastAsia="zh-CN"/>
        </w:rPr>
        <w:t xml:space="preserve"> </w:t>
      </w:r>
      <w:r>
        <w:rPr>
          <w:rFonts w:ascii="Arial" w:hAnsi="Arial" w:eastAsia="宋体" w:cs="Arial"/>
          <w:kern w:val="2"/>
          <w:sz w:val="21"/>
          <w:szCs w:val="22"/>
          <w:lang w:eastAsia="zh-CN"/>
        </w:rPr>
        <w:t xml:space="preserve">generally be categorized into </w:t>
      </w:r>
      <w:r>
        <w:rPr>
          <w:rFonts w:ascii="Arial" w:hAnsi="Arial" w:eastAsia="宋体" w:cs="Arial"/>
          <w:kern w:val="2"/>
          <w:sz w:val="21"/>
          <w:szCs w:val="22"/>
          <w:lang w:val="en-US" w:eastAsia="zh-CN"/>
        </w:rPr>
        <w:t>the following</w:t>
      </w:r>
      <w:r>
        <w:rPr>
          <w:rFonts w:ascii="Arial" w:hAnsi="Arial" w:eastAsia="宋体" w:cs="Arial"/>
          <w:kern w:val="2"/>
          <w:sz w:val="21"/>
          <w:szCs w:val="22"/>
          <w:lang w:eastAsia="zh-CN"/>
        </w:rPr>
        <w:t xml:space="preserve"> types</w:t>
      </w:r>
      <w:r>
        <w:rPr>
          <w:rFonts w:ascii="Arial" w:hAnsi="Arial" w:eastAsia="宋体" w:cs="Arial"/>
          <w:kern w:val="2"/>
          <w:sz w:val="21"/>
          <w:szCs w:val="22"/>
          <w:lang w:val="en-US" w:eastAsia="zh-CN"/>
        </w:rPr>
        <w:t>:</w:t>
      </w:r>
    </w:p>
    <w:p>
      <w:pPr>
        <w:numPr>
          <w:ilvl w:val="0"/>
          <w:numId w:val="1"/>
        </w:numPr>
        <w:overflowPunct w:val="0"/>
        <w:autoSpaceDE w:val="0"/>
        <w:autoSpaceDN w:val="0"/>
        <w:adjustRightInd w:val="0"/>
        <w:spacing w:before="120" w:after="120"/>
        <w:jc w:val="both"/>
        <w:textAlignment w:val="baseline"/>
        <w:rPr>
          <w:rFonts w:ascii="Arial" w:hAnsi="Arial" w:eastAsia="宋体" w:cs="Arial"/>
          <w:kern w:val="2"/>
          <w:sz w:val="21"/>
          <w:szCs w:val="22"/>
          <w:lang w:val="en-US" w:eastAsia="zh-CN"/>
        </w:rPr>
      </w:pPr>
      <w:r>
        <w:rPr>
          <w:rFonts w:ascii="Arial" w:hAnsi="Arial" w:eastAsia="宋体" w:cs="Arial"/>
          <w:kern w:val="2"/>
          <w:sz w:val="21"/>
          <w:szCs w:val="22"/>
          <w:lang w:val="en-US" w:eastAsia="zh-CN"/>
        </w:rPr>
        <w:t>Low altitude transportation</w:t>
      </w:r>
    </w:p>
    <w:p>
      <w:pPr>
        <w:overflowPunct w:val="0"/>
        <w:autoSpaceDE w:val="0"/>
        <w:autoSpaceDN w:val="0"/>
        <w:adjustRightInd w:val="0"/>
        <w:spacing w:after="120"/>
        <w:ind w:firstLine="420"/>
        <w:jc w:val="both"/>
        <w:textAlignment w:val="baseline"/>
        <w:rPr>
          <w:rFonts w:ascii="Arial" w:hAnsi="Arial" w:eastAsia="宋体" w:cs="Arial"/>
          <w:lang w:val="en-US" w:eastAsia="zh-CN"/>
        </w:rPr>
      </w:pPr>
      <w:r>
        <w:rPr>
          <w:rFonts w:ascii="Arial" w:hAnsi="Arial" w:eastAsia="宋体" w:cs="Arial"/>
          <w:lang w:val="en-US" w:eastAsia="zh-CN"/>
        </w:rPr>
        <w:t>UAV intrusion detection, s</w:t>
      </w:r>
      <w:r>
        <w:rPr>
          <w:rFonts w:ascii="Arial" w:hAnsi="Arial" w:eastAsia="宋体" w:cs="Arial"/>
          <w:lang w:eastAsia="zh-CN"/>
        </w:rPr>
        <w:t>ensing to avoid UAV collision, UAV flight trajectory tracing</w:t>
      </w:r>
    </w:p>
    <w:p>
      <w:pPr>
        <w:numPr>
          <w:ilvl w:val="0"/>
          <w:numId w:val="1"/>
        </w:numPr>
        <w:overflowPunct w:val="0"/>
        <w:autoSpaceDE w:val="0"/>
        <w:autoSpaceDN w:val="0"/>
        <w:adjustRightInd w:val="0"/>
        <w:spacing w:before="120" w:after="120"/>
        <w:jc w:val="both"/>
        <w:textAlignment w:val="baseline"/>
        <w:rPr>
          <w:rFonts w:ascii="Arial" w:hAnsi="Arial" w:eastAsia="宋体" w:cs="Arial"/>
          <w:kern w:val="2"/>
          <w:sz w:val="21"/>
          <w:szCs w:val="22"/>
          <w:lang w:val="en-US" w:eastAsia="zh-CN"/>
        </w:rPr>
      </w:pPr>
      <w:r>
        <w:rPr>
          <w:rFonts w:ascii="Arial" w:hAnsi="Arial" w:eastAsia="宋体" w:cs="Arial"/>
          <w:kern w:val="2"/>
          <w:sz w:val="21"/>
          <w:szCs w:val="22"/>
          <w:lang w:val="en-US" w:eastAsia="zh-CN"/>
        </w:rPr>
        <w:t>Industrial application</w:t>
      </w:r>
    </w:p>
    <w:p>
      <w:pPr>
        <w:overflowPunct w:val="0"/>
        <w:autoSpaceDE w:val="0"/>
        <w:autoSpaceDN w:val="0"/>
        <w:adjustRightInd w:val="0"/>
        <w:spacing w:before="120" w:after="120"/>
        <w:ind w:left="400" w:leftChars="200" w:firstLine="20"/>
        <w:jc w:val="both"/>
        <w:textAlignment w:val="baseline"/>
        <w:rPr>
          <w:rFonts w:ascii="Arial" w:hAnsi="Arial" w:eastAsia="Yu Mincho" w:cs="Arial"/>
          <w:kern w:val="2"/>
          <w:sz w:val="21"/>
          <w:szCs w:val="22"/>
          <w:lang w:val="en-US" w:eastAsia="zh-CN"/>
        </w:rPr>
      </w:pPr>
      <w:r>
        <w:rPr>
          <w:rFonts w:ascii="Arial" w:hAnsi="Arial" w:eastAsia="Yu Mincho" w:cs="Arial"/>
          <w:kern w:val="2"/>
          <w:sz w:val="21"/>
          <w:szCs w:val="22"/>
          <w:lang w:eastAsia="zh-CN"/>
        </w:rPr>
        <w:t>AGV detection and tracking in factories</w:t>
      </w:r>
      <w:r>
        <w:rPr>
          <w:rFonts w:ascii="Arial" w:hAnsi="Arial" w:eastAsia="Yu Mincho" w:cs="Arial"/>
          <w:kern w:val="2"/>
          <w:sz w:val="21"/>
          <w:szCs w:val="22"/>
          <w:lang w:val="en-US" w:eastAsia="zh-CN"/>
        </w:rPr>
        <w:t xml:space="preserve">, </w:t>
      </w:r>
      <w:r>
        <w:rPr>
          <w:rFonts w:ascii="Arial" w:hAnsi="Arial" w:eastAsia="Yu Mincho" w:cs="Arial"/>
          <w:kern w:val="2"/>
          <w:sz w:val="21"/>
          <w:szCs w:val="32"/>
          <w:lang w:val="en-US" w:eastAsia="zh-CN"/>
        </w:rPr>
        <w:t>AMR collision avoidance in smart factories, etc.</w:t>
      </w:r>
    </w:p>
    <w:p>
      <w:pPr>
        <w:numPr>
          <w:ilvl w:val="0"/>
          <w:numId w:val="1"/>
        </w:numPr>
        <w:overflowPunct w:val="0"/>
        <w:autoSpaceDE w:val="0"/>
        <w:autoSpaceDN w:val="0"/>
        <w:adjustRightInd w:val="0"/>
        <w:spacing w:before="120" w:after="120"/>
        <w:jc w:val="both"/>
        <w:textAlignment w:val="baseline"/>
        <w:rPr>
          <w:rFonts w:ascii="Arial" w:hAnsi="Arial" w:eastAsia="宋体" w:cs="Arial"/>
          <w:kern w:val="2"/>
          <w:sz w:val="21"/>
          <w:szCs w:val="22"/>
          <w:lang w:val="en-US" w:eastAsia="zh-CN"/>
        </w:rPr>
      </w:pPr>
      <w:r>
        <w:rPr>
          <w:rFonts w:ascii="Arial" w:hAnsi="Arial" w:eastAsia="宋体" w:cs="Arial"/>
          <w:kern w:val="2"/>
          <w:sz w:val="21"/>
          <w:szCs w:val="22"/>
          <w:lang w:val="en-US" w:eastAsia="zh-CN"/>
        </w:rPr>
        <w:t>Transportation application</w:t>
      </w:r>
    </w:p>
    <w:p>
      <w:pPr>
        <w:overflowPunct w:val="0"/>
        <w:autoSpaceDE w:val="0"/>
        <w:autoSpaceDN w:val="0"/>
        <w:adjustRightInd w:val="0"/>
        <w:spacing w:before="120" w:after="120"/>
        <w:ind w:left="400" w:leftChars="200" w:firstLine="20"/>
        <w:jc w:val="both"/>
        <w:textAlignment w:val="baseline"/>
        <w:rPr>
          <w:rFonts w:ascii="Arial" w:hAnsi="Arial" w:eastAsia="Yu Mincho" w:cs="Arial"/>
          <w:kern w:val="2"/>
          <w:sz w:val="21"/>
          <w:szCs w:val="22"/>
          <w:lang w:val="en-US" w:eastAsia="zh-CN"/>
        </w:rPr>
      </w:pPr>
      <w:r>
        <w:rPr>
          <w:rFonts w:ascii="Arial" w:hAnsi="Arial" w:eastAsia="Yu Mincho" w:cs="Arial"/>
          <w:kern w:val="2"/>
          <w:sz w:val="21"/>
          <w:szCs w:val="22"/>
          <w:lang w:val="en-US" w:eastAsia="zh-CN"/>
        </w:rPr>
        <w:t>Railway intrusion detection, highway intrusion detection, s</w:t>
      </w:r>
      <w:r>
        <w:rPr>
          <w:rFonts w:ascii="Arial" w:hAnsi="Arial" w:eastAsia="Yu Mincho" w:cs="Arial"/>
          <w:kern w:val="2"/>
          <w:sz w:val="21"/>
          <w:szCs w:val="22"/>
          <w:lang w:eastAsia="zh-CN"/>
        </w:rPr>
        <w:t xml:space="preserve">ensing </w:t>
      </w:r>
      <w:bookmarkStart w:id="2" w:name="OLE_LINK2"/>
      <w:r>
        <w:rPr>
          <w:rFonts w:ascii="Arial" w:hAnsi="Arial" w:eastAsia="Yu Mincho" w:cs="Arial"/>
          <w:kern w:val="2"/>
          <w:sz w:val="21"/>
          <w:szCs w:val="22"/>
          <w:lang w:val="en-US" w:eastAsia="zh-CN"/>
        </w:rPr>
        <w:t>a</w:t>
      </w:r>
      <w:r>
        <w:rPr>
          <w:rFonts w:ascii="Arial" w:hAnsi="Arial" w:eastAsia="Yu Mincho" w:cs="Arial"/>
          <w:kern w:val="2"/>
          <w:sz w:val="21"/>
          <w:szCs w:val="22"/>
          <w:lang w:eastAsia="zh-CN"/>
        </w:rPr>
        <w:t xml:space="preserve">ssisted </w:t>
      </w:r>
      <w:r>
        <w:rPr>
          <w:rFonts w:ascii="Arial" w:hAnsi="Arial" w:eastAsia="Yu Mincho" w:cs="Arial"/>
          <w:kern w:val="2"/>
          <w:sz w:val="21"/>
          <w:szCs w:val="22"/>
          <w:lang w:val="en-US" w:eastAsia="zh-CN"/>
        </w:rPr>
        <w:t>a</w:t>
      </w:r>
      <w:r>
        <w:rPr>
          <w:rFonts w:ascii="Arial" w:hAnsi="Arial" w:eastAsia="Yu Mincho" w:cs="Arial"/>
          <w:kern w:val="2"/>
          <w:sz w:val="21"/>
          <w:szCs w:val="22"/>
          <w:lang w:eastAsia="zh-CN"/>
        </w:rPr>
        <w:t xml:space="preserve">utomotive </w:t>
      </w:r>
      <w:r>
        <w:rPr>
          <w:rFonts w:ascii="Arial" w:hAnsi="Arial" w:eastAsia="Yu Mincho" w:cs="Arial"/>
          <w:kern w:val="2"/>
          <w:sz w:val="21"/>
          <w:szCs w:val="22"/>
          <w:lang w:val="en-US" w:eastAsia="zh-CN"/>
        </w:rPr>
        <w:t>m</w:t>
      </w:r>
      <w:r>
        <w:rPr>
          <w:rFonts w:ascii="Arial" w:hAnsi="Arial" w:eastAsia="Yu Mincho" w:cs="Arial"/>
          <w:kern w:val="2"/>
          <w:sz w:val="21"/>
          <w:szCs w:val="22"/>
          <w:lang w:eastAsia="zh-CN"/>
        </w:rPr>
        <w:t xml:space="preserve">aneuvering and </w:t>
      </w:r>
      <w:r>
        <w:rPr>
          <w:rFonts w:ascii="Arial" w:hAnsi="Arial" w:eastAsia="Yu Mincho" w:cs="Arial"/>
          <w:kern w:val="2"/>
          <w:sz w:val="21"/>
          <w:szCs w:val="22"/>
          <w:lang w:val="en-US" w:eastAsia="zh-CN"/>
        </w:rPr>
        <w:t>n</w:t>
      </w:r>
      <w:r>
        <w:rPr>
          <w:rFonts w:ascii="Arial" w:hAnsi="Arial" w:eastAsia="Yu Mincho" w:cs="Arial"/>
          <w:kern w:val="2"/>
          <w:sz w:val="21"/>
          <w:szCs w:val="22"/>
          <w:lang w:eastAsia="zh-CN"/>
        </w:rPr>
        <w:t>avigation</w:t>
      </w:r>
      <w:bookmarkEnd w:id="2"/>
      <w:r>
        <w:rPr>
          <w:rFonts w:ascii="Arial" w:hAnsi="Arial" w:eastAsia="Yu Mincho" w:cs="Arial"/>
          <w:kern w:val="2"/>
          <w:sz w:val="21"/>
          <w:szCs w:val="22"/>
          <w:lang w:val="en-US" w:eastAsia="zh-CN"/>
        </w:rPr>
        <w:t xml:space="preserve">, </w:t>
      </w:r>
      <w:r>
        <w:rPr>
          <w:rFonts w:ascii="Arial" w:hAnsi="Arial" w:eastAsia="Yu Mincho" w:cs="Arial"/>
          <w:kern w:val="2"/>
          <w:sz w:val="21"/>
          <w:szCs w:val="22"/>
          <w:lang w:eastAsia="zh-CN"/>
        </w:rPr>
        <w:t>sensing at crossroads with/without obstacles</w:t>
      </w:r>
      <w:r>
        <w:rPr>
          <w:rFonts w:ascii="Arial" w:hAnsi="Arial" w:eastAsia="Yu Mincho" w:cs="Arial"/>
          <w:kern w:val="2"/>
          <w:sz w:val="21"/>
          <w:szCs w:val="22"/>
          <w:lang w:val="en-US" w:eastAsia="zh-CN"/>
        </w:rPr>
        <w:t xml:space="preserve">, </w:t>
      </w:r>
      <w:r>
        <w:rPr>
          <w:rFonts w:ascii="Arial" w:hAnsi="Arial" w:eastAsia="Yu Mincho" w:cs="Arial"/>
          <w:kern w:val="2"/>
          <w:sz w:val="21"/>
          <w:szCs w:val="22"/>
          <w:lang w:eastAsia="zh-CN"/>
        </w:rPr>
        <w:t>sensing for tourist spot traffic management</w:t>
      </w:r>
      <w:r>
        <w:rPr>
          <w:rFonts w:ascii="Arial" w:hAnsi="Arial" w:eastAsia="Yu Mincho" w:cs="Arial"/>
          <w:kern w:val="2"/>
          <w:sz w:val="21"/>
          <w:szCs w:val="32"/>
          <w:lang w:val="en-US" w:eastAsia="zh-CN"/>
        </w:rPr>
        <w:t>, etc</w:t>
      </w:r>
      <w:r>
        <w:rPr>
          <w:rFonts w:ascii="Arial" w:hAnsi="Arial" w:eastAsia="Yu Mincho" w:cs="Arial"/>
          <w:kern w:val="2"/>
          <w:sz w:val="21"/>
          <w:szCs w:val="22"/>
          <w:lang w:val="en-US" w:eastAsia="zh-CN"/>
        </w:rPr>
        <w:t>.</w:t>
      </w:r>
    </w:p>
    <w:p>
      <w:pPr>
        <w:numPr>
          <w:ilvl w:val="0"/>
          <w:numId w:val="1"/>
        </w:numPr>
        <w:overflowPunct w:val="0"/>
        <w:autoSpaceDE w:val="0"/>
        <w:autoSpaceDN w:val="0"/>
        <w:adjustRightInd w:val="0"/>
        <w:spacing w:before="120" w:after="120"/>
        <w:jc w:val="both"/>
        <w:textAlignment w:val="baseline"/>
        <w:rPr>
          <w:rFonts w:ascii="Arial" w:hAnsi="Arial" w:eastAsia="宋体" w:cs="Arial"/>
          <w:kern w:val="2"/>
          <w:sz w:val="21"/>
          <w:szCs w:val="22"/>
          <w:lang w:val="en-US" w:eastAsia="zh-CN"/>
        </w:rPr>
      </w:pPr>
      <w:r>
        <w:rPr>
          <w:rFonts w:ascii="Arial" w:hAnsi="Arial" w:eastAsia="宋体" w:cs="Arial"/>
          <w:kern w:val="2"/>
          <w:sz w:val="21"/>
          <w:szCs w:val="22"/>
          <w:lang w:val="en-US" w:eastAsia="zh-CN"/>
        </w:rPr>
        <w:t xml:space="preserve">Meteorology monitoring </w:t>
      </w:r>
    </w:p>
    <w:p>
      <w:pPr>
        <w:overflowPunct w:val="0"/>
        <w:autoSpaceDE w:val="0"/>
        <w:autoSpaceDN w:val="0"/>
        <w:adjustRightInd w:val="0"/>
        <w:spacing w:before="120" w:after="120"/>
        <w:ind w:firstLine="420"/>
        <w:jc w:val="both"/>
        <w:textAlignment w:val="baseline"/>
        <w:rPr>
          <w:rFonts w:ascii="Arial" w:hAnsi="Arial" w:eastAsia="Yu Mincho" w:cs="Arial"/>
          <w:kern w:val="2"/>
          <w:sz w:val="21"/>
          <w:szCs w:val="22"/>
          <w:lang w:val="en-US" w:eastAsia="zh-CN"/>
        </w:rPr>
      </w:pPr>
      <w:r>
        <w:rPr>
          <w:rFonts w:ascii="Arial" w:hAnsi="Arial" w:eastAsia="Yu Mincho" w:cs="Arial"/>
          <w:kern w:val="2"/>
          <w:sz w:val="21"/>
          <w:szCs w:val="22"/>
          <w:lang w:val="en-US" w:eastAsia="zh-CN"/>
        </w:rPr>
        <w:t>R</w:t>
      </w:r>
      <w:r>
        <w:rPr>
          <w:rFonts w:ascii="Arial" w:hAnsi="Arial" w:eastAsia="Yu Mincho" w:cs="Arial"/>
          <w:kern w:val="2"/>
          <w:sz w:val="21"/>
          <w:szCs w:val="22"/>
          <w:lang w:eastAsia="zh-CN"/>
        </w:rPr>
        <w:t>ainfall monitoring</w:t>
      </w:r>
      <w:r>
        <w:rPr>
          <w:rFonts w:ascii="Arial" w:hAnsi="Arial" w:eastAsia="Yu Mincho" w:cs="Arial"/>
          <w:kern w:val="2"/>
          <w:sz w:val="21"/>
          <w:szCs w:val="22"/>
          <w:lang w:val="en-US" w:eastAsia="zh-CN"/>
        </w:rPr>
        <w:t xml:space="preserve">, </w:t>
      </w:r>
      <w:r>
        <w:rPr>
          <w:rFonts w:ascii="Arial" w:hAnsi="Arial" w:eastAsia="Yu Mincho" w:cs="Arial"/>
          <w:kern w:val="2"/>
          <w:sz w:val="21"/>
          <w:szCs w:val="22"/>
          <w:lang w:eastAsia="zh-CN"/>
        </w:rPr>
        <w:t>sensing for flooding in smart cities</w:t>
      </w:r>
      <w:r>
        <w:rPr>
          <w:rFonts w:ascii="Arial" w:hAnsi="Arial" w:eastAsia="Yu Mincho" w:cs="Arial"/>
          <w:kern w:val="2"/>
          <w:sz w:val="21"/>
          <w:szCs w:val="32"/>
          <w:lang w:val="en-US" w:eastAsia="zh-CN"/>
        </w:rPr>
        <w:t>, etc</w:t>
      </w:r>
      <w:r>
        <w:rPr>
          <w:rFonts w:ascii="Arial" w:hAnsi="Arial" w:eastAsia="Yu Mincho" w:cs="Arial"/>
          <w:kern w:val="2"/>
          <w:sz w:val="21"/>
          <w:szCs w:val="22"/>
          <w:lang w:val="en-US" w:eastAsia="zh-CN"/>
        </w:rPr>
        <w:t>.</w:t>
      </w:r>
    </w:p>
    <w:p>
      <w:pPr>
        <w:numPr>
          <w:ilvl w:val="0"/>
          <w:numId w:val="1"/>
        </w:numPr>
        <w:overflowPunct w:val="0"/>
        <w:autoSpaceDE w:val="0"/>
        <w:autoSpaceDN w:val="0"/>
        <w:adjustRightInd w:val="0"/>
        <w:spacing w:before="120" w:after="120"/>
        <w:jc w:val="both"/>
        <w:textAlignment w:val="baseline"/>
        <w:rPr>
          <w:rFonts w:ascii="Arial" w:hAnsi="Arial" w:eastAsia="宋体" w:cs="Arial"/>
          <w:kern w:val="2"/>
          <w:sz w:val="21"/>
          <w:szCs w:val="22"/>
          <w:lang w:val="en-US" w:eastAsia="zh-CN"/>
        </w:rPr>
      </w:pPr>
      <w:r>
        <w:rPr>
          <w:rFonts w:ascii="Arial" w:hAnsi="Arial" w:eastAsia="宋体" w:cs="Arial"/>
          <w:kern w:val="2"/>
          <w:sz w:val="21"/>
          <w:szCs w:val="22"/>
          <w:lang w:val="en-US" w:eastAsia="zh-CN"/>
        </w:rPr>
        <w:t>Health Care</w:t>
      </w:r>
    </w:p>
    <w:p>
      <w:pPr>
        <w:overflowPunct w:val="0"/>
        <w:autoSpaceDE w:val="0"/>
        <w:autoSpaceDN w:val="0"/>
        <w:adjustRightInd w:val="0"/>
        <w:spacing w:before="120" w:after="120"/>
        <w:ind w:left="400" w:leftChars="200" w:firstLine="20"/>
        <w:jc w:val="both"/>
        <w:textAlignment w:val="baseline"/>
        <w:rPr>
          <w:rFonts w:ascii="Arial" w:hAnsi="Arial" w:eastAsia="宋体" w:cs="Arial"/>
          <w:kern w:val="2"/>
          <w:sz w:val="21"/>
          <w:szCs w:val="22"/>
          <w:lang w:val="en-US" w:eastAsia="zh-CN"/>
        </w:rPr>
      </w:pPr>
      <w:r>
        <w:rPr>
          <w:rFonts w:ascii="Arial" w:hAnsi="Arial" w:eastAsia="宋体" w:cs="Arial"/>
          <w:iCs/>
          <w:kern w:val="2"/>
          <w:sz w:val="21"/>
          <w:szCs w:val="32"/>
          <w:lang w:val="en-US" w:eastAsia="zh-CN"/>
        </w:rPr>
        <w:t>H</w:t>
      </w:r>
      <w:r>
        <w:rPr>
          <w:rFonts w:ascii="Arial" w:hAnsi="Arial" w:eastAsia="Calibri" w:cs="Arial"/>
          <w:iCs/>
          <w:kern w:val="2"/>
          <w:sz w:val="21"/>
          <w:szCs w:val="32"/>
          <w:lang w:val="en-US" w:eastAsia="zh-CN"/>
        </w:rPr>
        <w:t>ealth monitoring at home</w:t>
      </w:r>
      <w:r>
        <w:rPr>
          <w:rFonts w:ascii="Arial" w:hAnsi="Arial" w:eastAsia="宋体" w:cs="Arial"/>
          <w:iCs/>
          <w:kern w:val="2"/>
          <w:sz w:val="21"/>
          <w:szCs w:val="32"/>
          <w:lang w:val="en-US" w:eastAsia="zh-CN"/>
        </w:rPr>
        <w:t xml:space="preserve">, </w:t>
      </w:r>
      <w:r>
        <w:rPr>
          <w:rFonts w:ascii="Arial" w:hAnsi="Arial" w:eastAsia="Yu Mincho" w:cs="Arial"/>
          <w:kern w:val="2"/>
          <w:sz w:val="21"/>
          <w:szCs w:val="22"/>
          <w:lang w:eastAsia="zh-CN"/>
        </w:rPr>
        <w:t xml:space="preserve">contactless sleep monitoring, </w:t>
      </w:r>
      <w:r>
        <w:rPr>
          <w:rFonts w:ascii="Arial" w:hAnsi="Arial" w:eastAsia="Calibri" w:cs="Arial"/>
          <w:iCs/>
          <w:kern w:val="2"/>
          <w:sz w:val="21"/>
          <w:szCs w:val="32"/>
          <w:lang w:val="en-US" w:eastAsia="zh-CN"/>
        </w:rPr>
        <w:t>service continuity of unobtrusive health</w:t>
      </w:r>
      <w:r>
        <w:rPr>
          <w:rFonts w:ascii="Arial" w:hAnsi="Arial" w:eastAsia="Yu Mincho" w:cs="Arial"/>
          <w:kern w:val="2"/>
          <w:sz w:val="21"/>
          <w:szCs w:val="32"/>
          <w:lang w:val="en-US" w:eastAsia="zh-CN"/>
        </w:rPr>
        <w:t>, etc</w:t>
      </w:r>
      <w:r>
        <w:rPr>
          <w:rFonts w:ascii="Arial" w:hAnsi="Arial" w:eastAsia="宋体" w:cs="Arial"/>
          <w:iCs/>
          <w:kern w:val="2"/>
          <w:sz w:val="21"/>
          <w:szCs w:val="32"/>
          <w:lang w:val="en-US" w:eastAsia="zh-CN"/>
        </w:rPr>
        <w:t>.</w:t>
      </w:r>
    </w:p>
    <w:p>
      <w:pPr>
        <w:numPr>
          <w:ilvl w:val="0"/>
          <w:numId w:val="1"/>
        </w:numPr>
        <w:overflowPunct w:val="0"/>
        <w:autoSpaceDE w:val="0"/>
        <w:autoSpaceDN w:val="0"/>
        <w:adjustRightInd w:val="0"/>
        <w:spacing w:before="120" w:after="120"/>
        <w:jc w:val="both"/>
        <w:textAlignment w:val="baseline"/>
        <w:rPr>
          <w:rFonts w:ascii="Arial" w:hAnsi="Arial" w:eastAsia="宋体" w:cs="Arial"/>
          <w:kern w:val="2"/>
          <w:sz w:val="21"/>
          <w:szCs w:val="22"/>
          <w:lang w:val="en-US" w:eastAsia="zh-CN"/>
        </w:rPr>
      </w:pPr>
      <w:r>
        <w:rPr>
          <w:rFonts w:ascii="Arial" w:hAnsi="Arial" w:eastAsia="宋体" w:cs="Arial"/>
          <w:kern w:val="2"/>
          <w:sz w:val="21"/>
          <w:szCs w:val="22"/>
          <w:lang w:val="en-US" w:eastAsia="zh-CN"/>
        </w:rPr>
        <w:t>Daily life &amp; entertainment</w:t>
      </w:r>
    </w:p>
    <w:p>
      <w:pPr>
        <w:overflowPunct w:val="0"/>
        <w:autoSpaceDE w:val="0"/>
        <w:autoSpaceDN w:val="0"/>
        <w:adjustRightInd w:val="0"/>
        <w:spacing w:before="120" w:after="120"/>
        <w:ind w:left="400" w:leftChars="200" w:firstLine="20"/>
        <w:jc w:val="both"/>
        <w:textAlignment w:val="baseline"/>
        <w:rPr>
          <w:rFonts w:ascii="Arial" w:hAnsi="Arial" w:eastAsia="Yu Mincho" w:cs="Arial"/>
          <w:kern w:val="2"/>
          <w:sz w:val="21"/>
          <w:szCs w:val="22"/>
          <w:lang w:val="en-US" w:eastAsia="zh-CN"/>
        </w:rPr>
      </w:pPr>
      <w:r>
        <w:rPr>
          <w:rFonts w:ascii="Arial" w:hAnsi="Arial" w:eastAsia="Yu Mincho" w:cs="Arial"/>
          <w:kern w:val="2"/>
          <w:sz w:val="21"/>
          <w:szCs w:val="22"/>
          <w:lang w:val="en-US" w:eastAsia="zh-CN"/>
        </w:rPr>
        <w:t>I</w:t>
      </w:r>
      <w:r>
        <w:rPr>
          <w:rFonts w:ascii="Arial" w:hAnsi="Arial" w:eastAsia="Yu Mincho" w:cs="Arial"/>
          <w:kern w:val="2"/>
          <w:sz w:val="21"/>
          <w:szCs w:val="22"/>
          <w:lang w:eastAsia="zh-CN"/>
        </w:rPr>
        <w:t>ntruder detection in smart home</w:t>
      </w:r>
      <w:r>
        <w:rPr>
          <w:rFonts w:ascii="Arial" w:hAnsi="Arial" w:eastAsia="Yu Mincho" w:cs="Arial"/>
          <w:kern w:val="2"/>
          <w:sz w:val="21"/>
          <w:szCs w:val="22"/>
          <w:lang w:val="en-US" w:eastAsia="zh-CN"/>
        </w:rPr>
        <w:t>, s</w:t>
      </w:r>
      <w:r>
        <w:rPr>
          <w:rFonts w:ascii="Arial" w:hAnsi="Arial" w:eastAsia="Yu Mincho" w:cs="Arial"/>
          <w:kern w:val="2"/>
          <w:sz w:val="21"/>
          <w:szCs w:val="22"/>
          <w:lang w:eastAsia="zh-CN"/>
        </w:rPr>
        <w:t xml:space="preserve">ensing for </w:t>
      </w:r>
      <w:r>
        <w:rPr>
          <w:rFonts w:ascii="Arial" w:hAnsi="Arial" w:eastAsia="Yu Mincho" w:cs="Arial"/>
          <w:kern w:val="2"/>
          <w:sz w:val="21"/>
          <w:szCs w:val="22"/>
          <w:lang w:val="en-US" w:eastAsia="zh-CN"/>
        </w:rPr>
        <w:t>p</w:t>
      </w:r>
      <w:r>
        <w:rPr>
          <w:rFonts w:ascii="Arial" w:hAnsi="Arial" w:eastAsia="Yu Mincho" w:cs="Arial"/>
          <w:kern w:val="2"/>
          <w:sz w:val="21"/>
          <w:szCs w:val="22"/>
          <w:lang w:eastAsia="zh-CN"/>
        </w:rPr>
        <w:t xml:space="preserve">arking </w:t>
      </w:r>
      <w:r>
        <w:rPr>
          <w:rFonts w:ascii="Arial" w:hAnsi="Arial" w:eastAsia="Yu Mincho" w:cs="Arial"/>
          <w:kern w:val="2"/>
          <w:sz w:val="21"/>
          <w:szCs w:val="22"/>
          <w:lang w:val="en-US" w:eastAsia="zh-CN"/>
        </w:rPr>
        <w:t>s</w:t>
      </w:r>
      <w:r>
        <w:rPr>
          <w:rFonts w:ascii="Arial" w:hAnsi="Arial" w:eastAsia="Yu Mincho" w:cs="Arial"/>
          <w:kern w:val="2"/>
          <w:sz w:val="21"/>
          <w:szCs w:val="22"/>
          <w:lang w:eastAsia="zh-CN"/>
        </w:rPr>
        <w:t xml:space="preserve">pace </w:t>
      </w:r>
      <w:r>
        <w:rPr>
          <w:rFonts w:ascii="Arial" w:hAnsi="Arial" w:eastAsia="Yu Mincho" w:cs="Arial"/>
          <w:kern w:val="2"/>
          <w:sz w:val="21"/>
          <w:szCs w:val="22"/>
          <w:lang w:val="en-US" w:eastAsia="zh-CN"/>
        </w:rPr>
        <w:t>d</w:t>
      </w:r>
      <w:r>
        <w:rPr>
          <w:rFonts w:ascii="Arial" w:hAnsi="Arial" w:eastAsia="Yu Mincho" w:cs="Arial"/>
          <w:kern w:val="2"/>
          <w:sz w:val="21"/>
          <w:szCs w:val="22"/>
          <w:lang w:eastAsia="zh-CN"/>
        </w:rPr>
        <w:t>etermination</w:t>
      </w:r>
      <w:r>
        <w:rPr>
          <w:rFonts w:ascii="Arial" w:hAnsi="Arial" w:eastAsia="Yu Mincho" w:cs="Arial"/>
          <w:kern w:val="2"/>
          <w:sz w:val="21"/>
          <w:szCs w:val="22"/>
          <w:lang w:val="en-US" w:eastAsia="zh-CN"/>
        </w:rPr>
        <w:t>, s</w:t>
      </w:r>
      <w:r>
        <w:rPr>
          <w:rFonts w:ascii="Arial" w:hAnsi="Arial" w:eastAsia="Yu Mincho" w:cs="Arial"/>
          <w:kern w:val="2"/>
          <w:sz w:val="21"/>
          <w:szCs w:val="22"/>
          <w:lang w:eastAsia="zh-CN"/>
        </w:rPr>
        <w:t>eamless XR streaming</w:t>
      </w:r>
      <w:r>
        <w:rPr>
          <w:rFonts w:ascii="Arial" w:hAnsi="Arial" w:eastAsia="Yu Mincho" w:cs="Arial"/>
          <w:kern w:val="2"/>
          <w:sz w:val="21"/>
          <w:szCs w:val="22"/>
          <w:lang w:val="en-US" w:eastAsia="zh-CN"/>
        </w:rPr>
        <w:t>, immersive experience based on sensing</w:t>
      </w:r>
      <w:r>
        <w:rPr>
          <w:rFonts w:ascii="Arial" w:hAnsi="Arial" w:eastAsia="Yu Mincho" w:cs="Arial"/>
          <w:kern w:val="2"/>
          <w:sz w:val="21"/>
          <w:szCs w:val="32"/>
          <w:lang w:val="en-US" w:eastAsia="zh-CN"/>
        </w:rPr>
        <w:t>, etc</w:t>
      </w:r>
      <w:r>
        <w:rPr>
          <w:rFonts w:ascii="Arial" w:hAnsi="Arial" w:eastAsia="Yu Mincho" w:cs="Arial"/>
          <w:kern w:val="2"/>
          <w:sz w:val="21"/>
          <w:szCs w:val="22"/>
          <w:lang w:val="en-US" w:eastAsia="zh-CN"/>
        </w:rPr>
        <w:t>.</w:t>
      </w:r>
    </w:p>
    <w:p>
      <w:pPr>
        <w:rPr>
          <w:rFonts w:ascii="Arial" w:hAnsi="Arial" w:cs="Arial"/>
          <w:b/>
        </w:rPr>
      </w:pPr>
    </w:p>
    <w:p>
      <w:pPr>
        <w:overflowPunct w:val="0"/>
        <w:autoSpaceDE w:val="0"/>
        <w:autoSpaceDN w:val="0"/>
        <w:adjustRightInd w:val="0"/>
        <w:spacing w:before="120" w:after="120"/>
        <w:jc w:val="both"/>
        <w:textAlignment w:val="baseline"/>
        <w:rPr>
          <w:rFonts w:ascii="Arial" w:hAnsi="Arial" w:eastAsia="宋体" w:cs="Arial"/>
          <w:kern w:val="2"/>
          <w:sz w:val="21"/>
          <w:szCs w:val="22"/>
          <w:lang w:eastAsia="zh-CN"/>
        </w:rPr>
      </w:pPr>
      <w:r>
        <w:rPr>
          <w:rFonts w:ascii="Arial" w:hAnsi="Arial" w:eastAsia="宋体" w:cs="Arial"/>
          <w:kern w:val="2"/>
          <w:sz w:val="21"/>
          <w:szCs w:val="22"/>
          <w:lang w:eastAsia="zh-CN"/>
        </w:rPr>
        <w:t xml:space="preserve">Based on </w:t>
      </w:r>
      <w:r>
        <w:rPr>
          <w:rFonts w:ascii="Arial" w:hAnsi="Arial" w:eastAsia="宋体" w:cs="Arial"/>
          <w:kern w:val="2"/>
          <w:sz w:val="21"/>
          <w:szCs w:val="22"/>
          <w:lang w:val="en-US" w:eastAsia="zh-CN"/>
        </w:rPr>
        <w:t>t</w:t>
      </w:r>
      <w:r>
        <w:rPr>
          <w:rFonts w:ascii="Arial" w:hAnsi="Arial" w:eastAsia="宋体" w:cs="Arial"/>
          <w:kern w:val="2"/>
          <w:sz w:val="21"/>
          <w:szCs w:val="22"/>
          <w:lang w:eastAsia="zh-CN"/>
        </w:rPr>
        <w:t>he objectives of the study</w:t>
      </w:r>
      <w:r>
        <w:rPr>
          <w:rFonts w:ascii="Arial" w:hAnsi="Arial" w:eastAsia="宋体" w:cs="Arial"/>
          <w:kern w:val="2"/>
          <w:sz w:val="21"/>
          <w:szCs w:val="22"/>
          <w:lang w:val="en-US" w:eastAsia="zh-CN"/>
        </w:rPr>
        <w:t xml:space="preserve"> and </w:t>
      </w:r>
      <w:r>
        <w:rPr>
          <w:rFonts w:ascii="Arial" w:hAnsi="Arial" w:eastAsia="宋体" w:cs="Arial"/>
          <w:kern w:val="2"/>
          <w:sz w:val="21"/>
          <w:szCs w:val="22"/>
          <w:lang w:eastAsia="zh-CN"/>
        </w:rPr>
        <w:t xml:space="preserve">all </w:t>
      </w:r>
      <w:r>
        <w:rPr>
          <w:rFonts w:ascii="Arial" w:hAnsi="Arial" w:eastAsia="宋体" w:cs="Arial"/>
          <w:kern w:val="2"/>
          <w:sz w:val="21"/>
          <w:szCs w:val="22"/>
          <w:lang w:val="en-US" w:eastAsia="zh-CN"/>
        </w:rPr>
        <w:t>p</w:t>
      </w:r>
      <w:r>
        <w:rPr>
          <w:rFonts w:ascii="Arial" w:hAnsi="Arial" w:eastAsia="宋体" w:cs="Arial"/>
          <w:kern w:val="2"/>
          <w:sz w:val="21"/>
          <w:szCs w:val="22"/>
          <w:lang w:eastAsia="zh-CN"/>
        </w:rPr>
        <w:t xml:space="preserve">otential </w:t>
      </w:r>
      <w:r>
        <w:rPr>
          <w:rFonts w:ascii="Arial" w:hAnsi="Arial" w:eastAsia="宋体" w:cs="Arial"/>
          <w:kern w:val="2"/>
          <w:sz w:val="21"/>
          <w:szCs w:val="22"/>
          <w:lang w:val="en-US" w:eastAsia="zh-CN"/>
        </w:rPr>
        <w:t>n</w:t>
      </w:r>
      <w:r>
        <w:rPr>
          <w:rFonts w:ascii="Arial" w:hAnsi="Arial" w:eastAsia="宋体" w:cs="Arial"/>
          <w:kern w:val="2"/>
          <w:sz w:val="21"/>
          <w:szCs w:val="22"/>
          <w:lang w:eastAsia="zh-CN"/>
        </w:rPr>
        <w:t xml:space="preserve">ew </w:t>
      </w:r>
      <w:r>
        <w:rPr>
          <w:rFonts w:ascii="Arial" w:hAnsi="Arial" w:eastAsia="宋体" w:cs="Arial"/>
          <w:kern w:val="2"/>
          <w:sz w:val="21"/>
          <w:szCs w:val="22"/>
          <w:lang w:val="en-US" w:eastAsia="zh-CN"/>
        </w:rPr>
        <w:t>r</w:t>
      </w:r>
      <w:r>
        <w:rPr>
          <w:rFonts w:ascii="Arial" w:hAnsi="Arial" w:eastAsia="宋体" w:cs="Arial"/>
          <w:kern w:val="2"/>
          <w:sz w:val="21"/>
          <w:szCs w:val="22"/>
          <w:lang w:eastAsia="zh-CN"/>
        </w:rPr>
        <w:t xml:space="preserve">equirements captured in the </w:t>
      </w:r>
      <w:r>
        <w:rPr>
          <w:rFonts w:ascii="Arial" w:hAnsi="Arial" w:eastAsia="宋体" w:cs="Arial"/>
          <w:kern w:val="2"/>
          <w:sz w:val="21"/>
          <w:szCs w:val="22"/>
          <w:lang w:val="en-US" w:eastAsia="zh-CN"/>
        </w:rPr>
        <w:t>above use cases</w:t>
      </w:r>
      <w:r>
        <w:rPr>
          <w:rFonts w:ascii="Arial" w:hAnsi="Arial" w:eastAsia="宋体" w:cs="Arial"/>
          <w:kern w:val="2"/>
          <w:sz w:val="21"/>
          <w:szCs w:val="22"/>
          <w:lang w:eastAsia="zh-CN"/>
        </w:rPr>
        <w:t xml:space="preserve">, </w:t>
      </w:r>
      <w:r>
        <w:rPr>
          <w:rFonts w:ascii="Arial" w:hAnsi="Arial" w:eastAsia="宋体" w:cs="Arial"/>
          <w:kern w:val="2"/>
          <w:sz w:val="21"/>
          <w:szCs w:val="22"/>
          <w:lang w:val="en-US" w:eastAsia="zh-CN"/>
        </w:rPr>
        <w:t>there is a</w:t>
      </w:r>
      <w:r>
        <w:rPr>
          <w:rFonts w:ascii="Arial" w:hAnsi="Arial" w:eastAsia="宋体" w:cs="Arial"/>
          <w:kern w:val="2"/>
          <w:sz w:val="21"/>
          <w:szCs w:val="22"/>
          <w:lang w:eastAsia="zh-CN"/>
        </w:rPr>
        <w:t xml:space="preserve"> propos</w:t>
      </w:r>
      <w:r>
        <w:rPr>
          <w:rFonts w:ascii="Arial" w:hAnsi="Arial" w:eastAsia="宋体" w:cs="Arial"/>
          <w:kern w:val="2"/>
          <w:sz w:val="21"/>
          <w:szCs w:val="22"/>
          <w:lang w:val="en-US" w:eastAsia="zh-CN"/>
        </w:rPr>
        <w:t xml:space="preserve">al </w:t>
      </w:r>
      <w:r>
        <w:rPr>
          <w:rFonts w:ascii="Arial" w:hAnsi="Arial" w:eastAsia="宋体" w:cs="Arial"/>
          <w:kern w:val="2"/>
          <w:sz w:val="21"/>
          <w:szCs w:val="22"/>
          <w:lang w:eastAsia="zh-CN"/>
        </w:rPr>
        <w:t xml:space="preserve">to put them into </w:t>
      </w:r>
      <w:r>
        <w:rPr>
          <w:rFonts w:hint="default" w:ascii="Arial" w:hAnsi="Arial" w:eastAsia="宋体" w:cs="Arial"/>
          <w:kern w:val="2"/>
          <w:sz w:val="21"/>
          <w:szCs w:val="22"/>
          <w:lang w:val="en-US" w:eastAsia="zh-CN"/>
        </w:rPr>
        <w:t>8</w:t>
      </w:r>
      <w:r>
        <w:rPr>
          <w:rFonts w:ascii="Arial" w:hAnsi="Arial" w:eastAsia="宋体" w:cs="Arial"/>
          <w:kern w:val="2"/>
          <w:sz w:val="21"/>
          <w:szCs w:val="22"/>
          <w:lang w:eastAsia="zh-CN"/>
        </w:rPr>
        <w:t xml:space="preserve"> sub</w:t>
      </w:r>
      <w:r>
        <w:rPr>
          <w:rFonts w:ascii="Arial" w:hAnsi="Arial" w:eastAsia="宋体" w:cs="Arial"/>
          <w:kern w:val="2"/>
          <w:sz w:val="21"/>
          <w:szCs w:val="22"/>
          <w:lang w:val="en-US" w:eastAsia="zh-CN"/>
        </w:rPr>
        <w:t>-</w:t>
      </w:r>
      <w:r>
        <w:rPr>
          <w:rFonts w:ascii="Arial" w:hAnsi="Arial" w:eastAsia="宋体" w:cs="Arial"/>
          <w:kern w:val="2"/>
          <w:sz w:val="21"/>
          <w:szCs w:val="22"/>
          <w:lang w:eastAsia="zh-CN"/>
        </w:rPr>
        <w:t>clauses as below for</w:t>
      </w:r>
      <w:r>
        <w:rPr>
          <w:rFonts w:ascii="Arial" w:hAnsi="Arial" w:eastAsia="宋体" w:cs="Arial"/>
          <w:kern w:val="2"/>
          <w:sz w:val="21"/>
          <w:szCs w:val="22"/>
          <w:lang w:val="en-US" w:eastAsia="zh-CN"/>
        </w:rPr>
        <w:t xml:space="preserve"> Requirement Consolidation</w:t>
      </w:r>
      <w:r>
        <w:rPr>
          <w:rFonts w:ascii="Arial" w:hAnsi="Arial" w:eastAsia="宋体" w:cs="Arial"/>
          <w:kern w:val="2"/>
          <w:sz w:val="21"/>
          <w:szCs w:val="22"/>
          <w:lang w:eastAsia="zh-CN"/>
        </w:rPr>
        <w:t xml:space="preserve">. </w:t>
      </w:r>
    </w:p>
    <w:p>
      <w:pPr>
        <w:overflowPunct w:val="0"/>
        <w:autoSpaceDE w:val="0"/>
        <w:autoSpaceDN w:val="0"/>
        <w:adjustRightInd w:val="0"/>
        <w:spacing w:before="120" w:after="120"/>
        <w:jc w:val="both"/>
        <w:textAlignment w:val="baseline"/>
        <w:rPr>
          <w:rFonts w:hint="default" w:ascii="Arial" w:hAnsi="Arial" w:eastAsia="宋体" w:cs="Arial"/>
          <w:kern w:val="2"/>
          <w:sz w:val="21"/>
          <w:szCs w:val="22"/>
          <w:lang w:val="en-US" w:eastAsia="zh-CN"/>
        </w:rPr>
      </w:pPr>
      <w:r>
        <w:rPr>
          <w:rFonts w:hint="default" w:ascii="Arial" w:hAnsi="Arial" w:eastAsia="宋体" w:cs="Arial"/>
          <w:kern w:val="2"/>
          <w:sz w:val="21"/>
          <w:szCs w:val="22"/>
          <w:lang w:val="en-US" w:eastAsia="zh-CN"/>
        </w:rPr>
        <w:t>The detail of sub-clause and the examples of the CPR in each sub-clause are as below</w:t>
      </w:r>
      <w:r>
        <w:rPr>
          <w:rFonts w:hint="eastAsia" w:ascii="Arial" w:hAnsi="Arial" w:eastAsia="宋体" w:cs="Arial"/>
          <w:kern w:val="2"/>
          <w:sz w:val="21"/>
          <w:szCs w:val="22"/>
          <w:lang w:val="en-US" w:eastAsia="zh-CN"/>
        </w:rPr>
        <w:t>：</w:t>
      </w:r>
    </w:p>
    <w:p>
      <w:pPr>
        <w:overflowPunct w:val="0"/>
        <w:autoSpaceDE w:val="0"/>
        <w:autoSpaceDN w:val="0"/>
        <w:adjustRightInd w:val="0"/>
        <w:spacing w:before="120" w:after="120"/>
        <w:ind w:left="400" w:leftChars="200" w:firstLine="20"/>
        <w:jc w:val="both"/>
        <w:textAlignment w:val="baseline"/>
        <w:rPr>
          <w:rFonts w:ascii="Arial" w:hAnsi="Arial" w:eastAsia="Calibri" w:cs="Arial"/>
          <w:b/>
          <w:bCs/>
          <w:iCs/>
          <w:color w:val="4F81BD" w:themeColor="accent1"/>
          <w:kern w:val="2"/>
          <w:sz w:val="21"/>
          <w:szCs w:val="32"/>
          <w:lang w:val="en-US" w:eastAsia="zh-CN"/>
          <w14:textFill>
            <w14:solidFill>
              <w14:schemeClr w14:val="accent1"/>
            </w14:solidFill>
          </w14:textFill>
        </w:rPr>
      </w:pPr>
      <w:r>
        <w:rPr>
          <w:rFonts w:ascii="Arial" w:hAnsi="Arial" w:eastAsia="Calibri" w:cs="Arial"/>
          <w:b/>
          <w:bCs/>
          <w:iCs/>
          <w:color w:val="4F81BD" w:themeColor="accent1"/>
          <w:kern w:val="2"/>
          <w:sz w:val="21"/>
          <w:szCs w:val="32"/>
          <w:lang w:val="en-US" w:eastAsia="zh-CN"/>
          <w14:textFill>
            <w14:solidFill>
              <w14:schemeClr w14:val="accent1"/>
            </w14:solidFill>
          </w14:textFill>
        </w:rPr>
        <w:t>Sub-clause 7.1: Sensing Authorization Operation</w:t>
      </w:r>
    </w:p>
    <w:p>
      <w:pPr>
        <w:overflowPunct w:val="0"/>
        <w:autoSpaceDE w:val="0"/>
        <w:autoSpaceDN w:val="0"/>
        <w:adjustRightInd w:val="0"/>
        <w:spacing w:before="120" w:after="120"/>
        <w:ind w:left="400" w:leftChars="200" w:firstLine="20"/>
        <w:jc w:val="both"/>
        <w:textAlignment w:val="baseline"/>
        <w:rPr>
          <w:rFonts w:ascii="Arial" w:hAnsi="Arial" w:eastAsia="Calibri" w:cs="Arial"/>
          <w:iCs/>
          <w:kern w:val="2"/>
          <w:sz w:val="21"/>
          <w:szCs w:val="32"/>
          <w:lang w:val="en-US" w:eastAsia="zh-CN"/>
        </w:rPr>
      </w:pPr>
    </w:p>
    <w:tbl>
      <w:tblPr>
        <w:tblStyle w:val="44"/>
        <w:tblW w:w="1051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3780"/>
        <w:gridCol w:w="3870"/>
        <w:gridCol w:w="1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42" w:type="dxa"/>
          </w:tcPr>
          <w:p>
            <w:pPr>
              <w:pStyle w:val="55"/>
            </w:pPr>
            <w:r>
              <w:t>CPR #</w:t>
            </w:r>
          </w:p>
        </w:tc>
        <w:tc>
          <w:tcPr>
            <w:tcW w:w="3780" w:type="dxa"/>
            <w:shd w:val="clear" w:color="auto" w:fill="auto"/>
          </w:tcPr>
          <w:p>
            <w:pPr>
              <w:pStyle w:val="55"/>
            </w:pPr>
            <w:r>
              <w:t>Original Potential Requirement No.</w:t>
            </w:r>
          </w:p>
        </w:tc>
        <w:tc>
          <w:tcPr>
            <w:tcW w:w="3870" w:type="dxa"/>
            <w:shd w:val="clear" w:color="auto" w:fill="auto"/>
          </w:tcPr>
          <w:p>
            <w:pPr>
              <w:pStyle w:val="55"/>
              <w:jc w:val="left"/>
            </w:pPr>
            <w:r>
              <w:t>Consolidated Potential Requirement</w:t>
            </w:r>
          </w:p>
        </w:tc>
        <w:tc>
          <w:tcPr>
            <w:tcW w:w="1722" w:type="dxa"/>
          </w:tcPr>
          <w:p>
            <w:pPr>
              <w:pStyle w:val="55"/>
              <w:jc w:val="left"/>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vMerge w:val="restart"/>
            <w:vAlign w:val="center"/>
          </w:tcPr>
          <w:p>
            <w:pPr>
              <w:pStyle w:val="56"/>
            </w:pPr>
            <w:r>
              <w:rPr>
                <w:color w:val="4F81BD" w:themeColor="accent1"/>
                <w14:textFill>
                  <w14:solidFill>
                    <w14:schemeClr w14:val="accent1"/>
                  </w14:solidFill>
                </w14:textFill>
              </w:rPr>
              <w:t>CPR 7.1-1</w:t>
            </w:r>
          </w:p>
        </w:tc>
        <w:tc>
          <w:tcPr>
            <w:tcW w:w="3780" w:type="dxa"/>
            <w:shd w:val="clear" w:color="auto" w:fill="auto"/>
          </w:tcPr>
          <w:p>
            <w:pPr>
              <w:pStyle w:val="56"/>
              <w:jc w:val="left"/>
            </w:pPr>
            <w:r>
              <w:rPr>
                <w:rFonts w:eastAsia="宋体"/>
                <w:lang w:val="en-US" w:eastAsia="zh-CN"/>
              </w:rPr>
              <w:t>[P.R.5.1.6-1] The 5G system shall provide a mechanism for an operator to authorize a UE for sensing, e.g., based on location.</w:t>
            </w:r>
            <w:r>
              <w:t xml:space="preserve"> </w:t>
            </w:r>
          </w:p>
          <w:p>
            <w:pPr>
              <w:pStyle w:val="56"/>
              <w:rPr>
                <w:szCs w:val="18"/>
              </w:rPr>
            </w:pPr>
          </w:p>
        </w:tc>
        <w:tc>
          <w:tcPr>
            <w:tcW w:w="3870" w:type="dxa"/>
            <w:vMerge w:val="restart"/>
            <w:shd w:val="clear" w:color="auto" w:fill="auto"/>
            <w:vAlign w:val="center"/>
          </w:tcPr>
          <w:p>
            <w:pPr>
              <w:pStyle w:val="56"/>
              <w:jc w:val="left"/>
              <w:rPr>
                <w:color w:val="4F81BD" w:themeColor="accent1"/>
                <w14:textFill>
                  <w14:solidFill>
                    <w14:schemeClr w14:val="accent1"/>
                  </w14:solidFill>
                </w14:textFill>
              </w:rPr>
            </w:pPr>
            <w:r>
              <w:rPr>
                <w:rFonts w:eastAsia="宋体"/>
                <w:color w:val="4F81BD" w:themeColor="accent1"/>
                <w:lang w:val="en-US" w:eastAsia="zh-CN"/>
                <w14:textFill>
                  <w14:solidFill>
                    <w14:schemeClr w14:val="accent1"/>
                  </w14:solidFill>
                </w14:textFill>
              </w:rPr>
              <w:t>[CPR 7.1-1] The 5G system shall provide a mechanism for an operator to authorize a UE or a group of UEs for sensing, e.g., based on location, time, etc.</w:t>
            </w:r>
          </w:p>
          <w:p>
            <w:pPr>
              <w:pStyle w:val="57"/>
            </w:pPr>
          </w:p>
        </w:tc>
        <w:tc>
          <w:tcPr>
            <w:tcW w:w="1722" w:type="dxa"/>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vMerge w:val="continue"/>
          </w:tcPr>
          <w:p>
            <w:pPr>
              <w:pStyle w:val="56"/>
            </w:pPr>
          </w:p>
        </w:tc>
        <w:tc>
          <w:tcPr>
            <w:tcW w:w="3780" w:type="dxa"/>
            <w:shd w:val="clear" w:color="auto" w:fill="auto"/>
          </w:tcPr>
          <w:p>
            <w:pPr>
              <w:pStyle w:val="56"/>
              <w:jc w:val="left"/>
              <w:rPr>
                <w:rFonts w:eastAsia="宋体"/>
                <w:lang w:val="en-US" w:eastAsia="zh-CN"/>
              </w:rPr>
            </w:pPr>
            <w:r>
              <w:rPr>
                <w:rFonts w:eastAsia="宋体"/>
                <w:lang w:val="en-US" w:eastAsia="zh-CN"/>
              </w:rPr>
              <w:t>[PR.5.4.6 - 001] Subject to user consent and national or regional regulation, based on operator policy, the 5GS shall support a mechanism to receive uplink sensing measurements from a UE that is authorized to provide uplink sensing measurements to the network.</w:t>
            </w:r>
          </w:p>
          <w:p>
            <w:pPr>
              <w:pStyle w:val="56"/>
              <w:jc w:val="left"/>
              <w:rPr>
                <w:rFonts w:eastAsia="宋体"/>
                <w:lang w:val="en-US" w:eastAsia="zh-CN"/>
              </w:rPr>
            </w:pPr>
            <w:r>
              <w:rPr>
                <w:rFonts w:eastAsia="宋体"/>
                <w:lang w:val="en-US" w:eastAsia="zh-CN"/>
              </w:rPr>
              <w:t xml:space="preserve">NOTE: </w:t>
            </w:r>
            <w:r>
              <w:rPr>
                <w:rFonts w:eastAsia="宋体"/>
                <w:lang w:val="en-US" w:eastAsia="zh-CN"/>
              </w:rPr>
              <w:tab/>
            </w:r>
            <w:r>
              <w:rPr>
                <w:rFonts w:eastAsia="宋体"/>
                <w:lang w:val="en-US" w:eastAsia="zh-CN"/>
              </w:rPr>
              <w:t>This requirement assumes there is some functionality in the 5GS to discern and interpret the acquired sensing measurements.</w:t>
            </w:r>
          </w:p>
          <w:p>
            <w:pPr>
              <w:pStyle w:val="56"/>
              <w:jc w:val="left"/>
              <w:rPr>
                <w:szCs w:val="18"/>
                <w:lang w:val="en-US"/>
              </w:rPr>
            </w:pPr>
          </w:p>
        </w:tc>
        <w:tc>
          <w:tcPr>
            <w:tcW w:w="3870" w:type="dxa"/>
            <w:vMerge w:val="continue"/>
            <w:shd w:val="clear" w:color="auto" w:fill="auto"/>
            <w:vAlign w:val="bottom"/>
          </w:tcPr>
          <w:p>
            <w:pPr>
              <w:pStyle w:val="57"/>
            </w:pPr>
          </w:p>
        </w:tc>
        <w:tc>
          <w:tcPr>
            <w:tcW w:w="1722" w:type="dxa"/>
          </w:tcPr>
          <w:p>
            <w:pPr>
              <w:pStyle w:val="57"/>
            </w:pPr>
            <w:r>
              <w:rPr>
                <w:rFonts w:eastAsia="宋体"/>
                <w:lang w:val="en-US" w:eastAsia="zh-CN"/>
              </w:rPr>
              <w:t>[PR.5.4.6 - 001] data transfer part from RAN to 5GC will be integrated into CPR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vMerge w:val="continue"/>
          </w:tcPr>
          <w:p>
            <w:pPr>
              <w:pStyle w:val="56"/>
            </w:pPr>
          </w:p>
        </w:tc>
        <w:tc>
          <w:tcPr>
            <w:tcW w:w="3780" w:type="dxa"/>
            <w:shd w:val="clear" w:color="auto" w:fill="auto"/>
          </w:tcPr>
          <w:p>
            <w:pPr>
              <w:pStyle w:val="56"/>
              <w:rPr>
                <w:rFonts w:eastAsia="宋体"/>
                <w:lang w:val="en-US" w:eastAsia="zh-CN"/>
              </w:rPr>
            </w:pPr>
            <w:r>
              <w:rPr>
                <w:rFonts w:eastAsia="宋体"/>
                <w:lang w:val="en-US" w:eastAsia="zh-CN"/>
              </w:rPr>
              <w:t xml:space="preserve">[PR 5.8.6-4] The 5G system shall be able to provide means to authorize and configure a UE for sensing operation (e.g., based on location, time, etc) and for establishing the communication connection needed to assist the sensing service. </w:t>
            </w:r>
          </w:p>
          <w:p>
            <w:pPr>
              <w:pStyle w:val="56"/>
              <w:jc w:val="left"/>
              <w:rPr>
                <w:rFonts w:eastAsia="宋体"/>
                <w:lang w:val="en-US" w:eastAsia="zh-CN"/>
              </w:rPr>
            </w:pPr>
            <w:r>
              <w:rPr>
                <w:rFonts w:eastAsia="宋体"/>
                <w:lang w:val="en-US" w:eastAsia="zh-CN"/>
              </w:rPr>
              <w:t xml:space="preserve">NOTE3: </w:t>
            </w:r>
            <w:r>
              <w:rPr>
                <w:rFonts w:eastAsia="宋体"/>
                <w:lang w:val="en-US" w:eastAsia="zh-CN"/>
              </w:rPr>
              <w:tab/>
            </w:r>
            <w:r>
              <w:rPr>
                <w:rFonts w:eastAsia="宋体"/>
                <w:lang w:val="en-US" w:eastAsia="zh-CN"/>
              </w:rPr>
              <w:t>The above requirement assumes that the communication connection used for sensing service can include direct network communication, direct device connection and indirect network connection.</w:t>
            </w:r>
          </w:p>
          <w:p>
            <w:pPr>
              <w:pStyle w:val="56"/>
              <w:rPr>
                <w:szCs w:val="18"/>
                <w:lang w:val="en-US"/>
              </w:rPr>
            </w:pPr>
          </w:p>
        </w:tc>
        <w:tc>
          <w:tcPr>
            <w:tcW w:w="3870" w:type="dxa"/>
            <w:vMerge w:val="continue"/>
            <w:shd w:val="clear" w:color="auto" w:fill="auto"/>
            <w:vAlign w:val="bottom"/>
          </w:tcPr>
          <w:p>
            <w:pPr>
              <w:pStyle w:val="57"/>
            </w:pPr>
          </w:p>
        </w:tc>
        <w:tc>
          <w:tcPr>
            <w:tcW w:w="1722" w:type="dxa"/>
          </w:tcPr>
          <w:p>
            <w:pPr>
              <w:pStyle w:val="57"/>
              <w:rPr>
                <w:rFonts w:eastAsia="宋体"/>
                <w:lang w:val="en-US" w:eastAsia="zh-CN"/>
              </w:rPr>
            </w:pPr>
            <w:r>
              <w:rPr>
                <w:rFonts w:eastAsia="宋体"/>
                <w:lang w:val="en-US" w:eastAsia="zh-CN"/>
              </w:rPr>
              <w:t>[PR 5.8.6-4] Configuration part will be merged into CPR 7.2</w:t>
            </w:r>
          </w:p>
          <w:p>
            <w:pPr>
              <w:pStyle w:val="57"/>
            </w:pPr>
            <w:r>
              <w:rPr>
                <w:rFonts w:eastAsia="宋体"/>
                <w:lang w:val="en-US" w:eastAsia="zh-CN"/>
              </w:rPr>
              <w:t>Communication connection part will be merged into CPR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tcPr>
          <w:p>
            <w:pPr>
              <w:pStyle w:val="56"/>
            </w:pPr>
          </w:p>
        </w:tc>
        <w:tc>
          <w:tcPr>
            <w:tcW w:w="3780" w:type="dxa"/>
            <w:shd w:val="clear" w:color="auto" w:fill="auto"/>
          </w:tcPr>
          <w:p>
            <w:pPr>
              <w:pStyle w:val="56"/>
              <w:rPr>
                <w:b/>
                <w:bCs/>
                <w:szCs w:val="18"/>
              </w:rPr>
            </w:pPr>
            <w:r>
              <w:rPr>
                <w:b/>
                <w:bCs/>
                <w:color w:val="FF0000"/>
                <w:szCs w:val="18"/>
              </w:rPr>
              <w:t>… …</w:t>
            </w:r>
          </w:p>
        </w:tc>
        <w:tc>
          <w:tcPr>
            <w:tcW w:w="3870" w:type="dxa"/>
            <w:shd w:val="clear" w:color="auto" w:fill="auto"/>
            <w:vAlign w:val="bottom"/>
          </w:tcPr>
          <w:p>
            <w:pPr>
              <w:pStyle w:val="57"/>
            </w:pPr>
          </w:p>
        </w:tc>
        <w:tc>
          <w:tcPr>
            <w:tcW w:w="1722" w:type="dxa"/>
          </w:tcPr>
          <w:p>
            <w:pPr>
              <w:pStyle w:val="57"/>
            </w:pPr>
            <w:r>
              <w:rPr>
                <w:color w:val="FF0000"/>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4" w:hRule="atLeast"/>
        </w:trPr>
        <w:tc>
          <w:tcPr>
            <w:tcW w:w="1142" w:type="dxa"/>
            <w:vAlign w:val="center"/>
          </w:tcPr>
          <w:p>
            <w:pPr>
              <w:pStyle w:val="56"/>
            </w:pPr>
            <w:r>
              <w:rPr>
                <w:color w:val="4F81BD" w:themeColor="accent1"/>
                <w14:textFill>
                  <w14:solidFill>
                    <w14:schemeClr w14:val="accent1"/>
                  </w14:solidFill>
                </w14:textFill>
              </w:rPr>
              <w:t>CPR 7.1-2</w:t>
            </w:r>
          </w:p>
        </w:tc>
        <w:tc>
          <w:tcPr>
            <w:tcW w:w="3780" w:type="dxa"/>
            <w:shd w:val="clear" w:color="auto" w:fill="auto"/>
          </w:tcPr>
          <w:p>
            <w:pPr>
              <w:pStyle w:val="56"/>
              <w:rPr>
                <w:szCs w:val="18"/>
                <w:lang w:val="en-US"/>
              </w:rPr>
            </w:pPr>
            <w:r>
              <w:rPr>
                <w:szCs w:val="18"/>
                <w:lang w:val="en-US"/>
              </w:rPr>
              <w:t>……………</w:t>
            </w:r>
          </w:p>
        </w:tc>
        <w:tc>
          <w:tcPr>
            <w:tcW w:w="3870" w:type="dxa"/>
            <w:shd w:val="clear" w:color="auto" w:fill="auto"/>
            <w:vAlign w:val="center"/>
          </w:tcPr>
          <w:p>
            <w:pPr>
              <w:pStyle w:val="56"/>
              <w:jc w:val="left"/>
              <w:rPr>
                <w:color w:val="4F81BD" w:themeColor="accent1"/>
                <w14:textFill>
                  <w14:solidFill>
                    <w14:schemeClr w14:val="accent1"/>
                  </w14:solidFill>
                </w14:textFill>
              </w:rPr>
            </w:pPr>
            <w:r>
              <w:rPr>
                <w:rFonts w:eastAsia="宋体"/>
                <w:color w:val="4F81BD" w:themeColor="accent1"/>
                <w:lang w:val="en-US" w:eastAsia="zh-CN"/>
                <w14:textFill>
                  <w14:solidFill>
                    <w14:schemeClr w14:val="accent1"/>
                  </w14:solidFill>
                </w14:textFill>
              </w:rPr>
              <w:t>[CPR 7.1-2] The 5G system shall provide a mechanism for an operator to authorize a RAN or a group of RANs for sensing, e.g., based on location, time, etc.</w:t>
            </w:r>
          </w:p>
          <w:p>
            <w:pPr>
              <w:pStyle w:val="57"/>
              <w:rPr>
                <w:color w:val="4F81BD" w:themeColor="accent1"/>
                <w14:textFill>
                  <w14:solidFill>
                    <w14:schemeClr w14:val="accent1"/>
                  </w14:solidFill>
                </w14:textFill>
              </w:rPr>
            </w:pPr>
          </w:p>
        </w:tc>
        <w:tc>
          <w:tcPr>
            <w:tcW w:w="1722" w:type="dxa"/>
          </w:tcPr>
          <w:p>
            <w:pPr>
              <w:pStyle w:val="57"/>
            </w:pPr>
            <w:r>
              <w:t>…………</w:t>
            </w:r>
          </w:p>
        </w:tc>
      </w:tr>
    </w:tbl>
    <w:p>
      <w:pPr>
        <w:overflowPunct w:val="0"/>
        <w:autoSpaceDE w:val="0"/>
        <w:autoSpaceDN w:val="0"/>
        <w:adjustRightInd w:val="0"/>
        <w:spacing w:before="120" w:after="120"/>
        <w:ind w:left="400" w:leftChars="200" w:firstLine="20"/>
        <w:jc w:val="both"/>
        <w:textAlignment w:val="baseline"/>
        <w:rPr>
          <w:rFonts w:ascii="Arial" w:hAnsi="Arial" w:eastAsia="Calibri" w:cs="Arial"/>
          <w:b/>
          <w:bCs/>
          <w:iCs/>
          <w:color w:val="4F81BD" w:themeColor="accent1"/>
          <w:kern w:val="2"/>
          <w:sz w:val="21"/>
          <w:szCs w:val="32"/>
          <w:lang w:val="en-US" w:eastAsia="zh-CN"/>
          <w14:textFill>
            <w14:solidFill>
              <w14:schemeClr w14:val="accent1"/>
            </w14:solidFill>
          </w14:textFill>
        </w:rPr>
      </w:pPr>
      <w:r>
        <w:rPr>
          <w:rFonts w:ascii="Arial" w:hAnsi="Arial" w:eastAsia="Calibri" w:cs="Arial"/>
          <w:b/>
          <w:bCs/>
          <w:iCs/>
          <w:color w:val="4F81BD" w:themeColor="accent1"/>
          <w:kern w:val="2"/>
          <w:sz w:val="21"/>
          <w:szCs w:val="32"/>
          <w:lang w:val="en-US" w:eastAsia="zh-CN"/>
          <w14:textFill>
            <w14:solidFill>
              <w14:schemeClr w14:val="accent1"/>
            </w14:solidFill>
          </w14:textFill>
        </w:rPr>
        <w:t>Sub-clause 7.2: Sensing configuration operation</w:t>
      </w:r>
    </w:p>
    <w:tbl>
      <w:tblPr>
        <w:tblStyle w:val="44"/>
        <w:tblW w:w="1051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3780"/>
        <w:gridCol w:w="3870"/>
        <w:gridCol w:w="1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142" w:type="dxa"/>
          </w:tcPr>
          <w:p>
            <w:pPr>
              <w:pStyle w:val="56"/>
            </w:pPr>
            <w:r>
              <w:t>CPR #</w:t>
            </w:r>
          </w:p>
        </w:tc>
        <w:tc>
          <w:tcPr>
            <w:tcW w:w="3780" w:type="dxa"/>
            <w:shd w:val="clear" w:color="auto" w:fill="auto"/>
          </w:tcPr>
          <w:p>
            <w:pPr>
              <w:pStyle w:val="56"/>
              <w:rPr>
                <w:szCs w:val="18"/>
              </w:rPr>
            </w:pPr>
            <w:r>
              <w:t>Original Potential Requirement No.</w:t>
            </w:r>
          </w:p>
        </w:tc>
        <w:tc>
          <w:tcPr>
            <w:tcW w:w="3870" w:type="dxa"/>
            <w:shd w:val="clear" w:color="auto" w:fill="auto"/>
          </w:tcPr>
          <w:p>
            <w:pPr>
              <w:pStyle w:val="57"/>
            </w:pPr>
            <w:r>
              <w:t>Consolidated Potential Requirement</w:t>
            </w:r>
          </w:p>
        </w:tc>
        <w:tc>
          <w:tcPr>
            <w:tcW w:w="1722" w:type="dxa"/>
          </w:tcPr>
          <w:p>
            <w:pPr>
              <w:pStyle w:val="57"/>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tcPr>
          <w:p>
            <w:pPr>
              <w:pStyle w:val="56"/>
              <w:rPr>
                <w:rFonts w:hint="default"/>
                <w:lang w:val="en-US"/>
              </w:rPr>
            </w:pPr>
            <w:r>
              <w:rPr>
                <w:color w:val="4F81BD" w:themeColor="accent1"/>
                <w14:textFill>
                  <w14:solidFill>
                    <w14:schemeClr w14:val="accent1"/>
                  </w14:solidFill>
                </w14:textFill>
              </w:rPr>
              <w:t>CPR 7.</w:t>
            </w:r>
            <w:r>
              <w:rPr>
                <w:rFonts w:hint="default"/>
                <w:color w:val="4F81BD" w:themeColor="accent1"/>
                <w:lang w:val="en-US"/>
                <w14:textFill>
                  <w14:solidFill>
                    <w14:schemeClr w14:val="accent1"/>
                  </w14:solidFill>
                </w14:textFill>
              </w:rPr>
              <w:t>2</w:t>
            </w:r>
            <w:r>
              <w:rPr>
                <w:color w:val="4F81BD" w:themeColor="accent1"/>
                <w14:textFill>
                  <w14:solidFill>
                    <w14:schemeClr w14:val="accent1"/>
                  </w14:solidFill>
                </w14:textFill>
              </w:rPr>
              <w:t>-</w:t>
            </w:r>
            <w:r>
              <w:rPr>
                <w:rFonts w:hint="default"/>
                <w:color w:val="4F81BD" w:themeColor="accent1"/>
                <w:lang w:val="en-US"/>
                <w14:textFill>
                  <w14:solidFill>
                    <w14:schemeClr w14:val="accent1"/>
                  </w14:solidFill>
                </w14:textFill>
              </w:rPr>
              <w:t>1</w:t>
            </w:r>
          </w:p>
        </w:tc>
        <w:tc>
          <w:tcPr>
            <w:tcW w:w="3780" w:type="dxa"/>
            <w:shd w:val="clear" w:color="auto" w:fill="auto"/>
          </w:tcPr>
          <w:p>
            <w:pPr>
              <w:pStyle w:val="56"/>
              <w:rPr>
                <w:szCs w:val="18"/>
              </w:rPr>
            </w:pPr>
          </w:p>
        </w:tc>
        <w:tc>
          <w:tcPr>
            <w:tcW w:w="3870" w:type="dxa"/>
            <w:shd w:val="clear" w:color="auto" w:fill="auto"/>
            <w:vAlign w:val="bottom"/>
          </w:tcPr>
          <w:p>
            <w:pPr>
              <w:pStyle w:val="57"/>
            </w:pPr>
          </w:p>
        </w:tc>
        <w:tc>
          <w:tcPr>
            <w:tcW w:w="1722" w:type="dxa"/>
          </w:tcPr>
          <w:p>
            <w:pPr>
              <w:pStyle w:val="57"/>
            </w:pPr>
          </w:p>
        </w:tc>
      </w:tr>
    </w:tbl>
    <w:p>
      <w:pPr>
        <w:overflowPunct w:val="0"/>
        <w:autoSpaceDE w:val="0"/>
        <w:autoSpaceDN w:val="0"/>
        <w:adjustRightInd w:val="0"/>
        <w:spacing w:before="120" w:after="120"/>
        <w:ind w:left="400" w:leftChars="200" w:firstLine="20"/>
        <w:jc w:val="both"/>
        <w:textAlignment w:val="baseline"/>
        <w:rPr>
          <w:rFonts w:ascii="Arial" w:hAnsi="Arial" w:eastAsia="Calibri" w:cs="Arial"/>
          <w:iCs/>
          <w:kern w:val="2"/>
          <w:sz w:val="21"/>
          <w:szCs w:val="32"/>
          <w:lang w:val="en-US" w:eastAsia="zh-CN"/>
        </w:rPr>
      </w:pPr>
    </w:p>
    <w:p>
      <w:pPr>
        <w:overflowPunct w:val="0"/>
        <w:autoSpaceDE w:val="0"/>
        <w:autoSpaceDN w:val="0"/>
        <w:adjustRightInd w:val="0"/>
        <w:spacing w:before="120" w:after="120"/>
        <w:ind w:left="400" w:leftChars="200" w:firstLine="20"/>
        <w:jc w:val="both"/>
        <w:textAlignment w:val="baseline"/>
        <w:rPr>
          <w:rFonts w:ascii="Arial" w:hAnsi="Arial" w:eastAsia="Calibri" w:cs="Arial"/>
          <w:b/>
          <w:bCs/>
          <w:iCs/>
          <w:color w:val="4F81BD" w:themeColor="accent1"/>
          <w:kern w:val="2"/>
          <w:sz w:val="21"/>
          <w:szCs w:val="32"/>
          <w:lang w:val="en-US" w:eastAsia="zh-CN"/>
          <w14:textFill>
            <w14:solidFill>
              <w14:schemeClr w14:val="accent1"/>
            </w14:solidFill>
          </w14:textFill>
        </w:rPr>
      </w:pPr>
      <w:r>
        <w:rPr>
          <w:rFonts w:ascii="Arial" w:hAnsi="Arial" w:eastAsia="Calibri" w:cs="Arial"/>
          <w:b/>
          <w:bCs/>
          <w:iCs/>
          <w:color w:val="4F81BD" w:themeColor="accent1"/>
          <w:kern w:val="2"/>
          <w:sz w:val="21"/>
          <w:szCs w:val="32"/>
          <w:lang w:val="en-US" w:eastAsia="zh-CN"/>
          <w14:textFill>
            <w14:solidFill>
              <w14:schemeClr w14:val="accent1"/>
            </w14:solidFill>
          </w14:textFill>
        </w:rPr>
        <w:t xml:space="preserve">Sub-clause 7.3: Sensing Devices Discovery Operation </w:t>
      </w:r>
    </w:p>
    <w:tbl>
      <w:tblPr>
        <w:tblStyle w:val="44"/>
        <w:tblW w:w="1051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3780"/>
        <w:gridCol w:w="3870"/>
        <w:gridCol w:w="1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tcPr>
          <w:p>
            <w:pPr>
              <w:pStyle w:val="56"/>
            </w:pPr>
            <w:r>
              <w:rPr>
                <w:b/>
                <w:bCs/>
              </w:rPr>
              <w:t>CPR #</w:t>
            </w:r>
          </w:p>
        </w:tc>
        <w:tc>
          <w:tcPr>
            <w:tcW w:w="3780" w:type="dxa"/>
            <w:shd w:val="clear" w:color="auto" w:fill="auto"/>
          </w:tcPr>
          <w:p>
            <w:pPr>
              <w:pStyle w:val="56"/>
              <w:rPr>
                <w:szCs w:val="18"/>
              </w:rPr>
            </w:pPr>
            <w:r>
              <w:rPr>
                <w:b/>
                <w:bCs/>
              </w:rPr>
              <w:t>Original Potential Requirement No.</w:t>
            </w:r>
          </w:p>
        </w:tc>
        <w:tc>
          <w:tcPr>
            <w:tcW w:w="3870" w:type="dxa"/>
            <w:shd w:val="clear" w:color="auto" w:fill="auto"/>
            <w:vAlign w:val="center"/>
          </w:tcPr>
          <w:p>
            <w:pPr>
              <w:pStyle w:val="57"/>
            </w:pPr>
            <w:r>
              <w:rPr>
                <w:b/>
                <w:bCs/>
              </w:rPr>
              <w:t>Consolidated Potential Requirement</w:t>
            </w:r>
          </w:p>
        </w:tc>
        <w:tc>
          <w:tcPr>
            <w:tcW w:w="1722" w:type="dxa"/>
          </w:tcPr>
          <w:p>
            <w:pPr>
              <w:pStyle w:val="57"/>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vAlign w:val="center"/>
          </w:tcPr>
          <w:p>
            <w:pPr>
              <w:pStyle w:val="56"/>
            </w:pPr>
            <w:r>
              <w:rPr>
                <w:color w:val="4F81BD" w:themeColor="accent1"/>
                <w14:textFill>
                  <w14:solidFill>
                    <w14:schemeClr w14:val="accent1"/>
                  </w14:solidFill>
                </w14:textFill>
              </w:rPr>
              <w:t>CPR 7.3-1</w:t>
            </w:r>
          </w:p>
        </w:tc>
        <w:tc>
          <w:tcPr>
            <w:tcW w:w="3780" w:type="dxa"/>
            <w:shd w:val="clear" w:color="auto" w:fill="auto"/>
          </w:tcPr>
          <w:p>
            <w:pPr>
              <w:pStyle w:val="56"/>
              <w:jc w:val="left"/>
              <w:rPr>
                <w:rFonts w:eastAsia="宋体"/>
                <w:lang w:val="en-US" w:eastAsia="zh-CN"/>
              </w:rPr>
            </w:pPr>
            <w:r>
              <w:rPr>
                <w:rFonts w:eastAsia="宋体"/>
                <w:lang w:val="en-US" w:eastAsia="zh-CN"/>
              </w:rPr>
              <w:t>[P.R.5.19.6-1]</w:t>
            </w:r>
            <w:r>
              <w:rPr>
                <w:rFonts w:eastAsia="宋体"/>
                <w:lang w:val="en-US" w:eastAsia="zh-CN"/>
              </w:rPr>
              <w:tab/>
            </w:r>
            <w:r>
              <w:rPr>
                <w:rFonts w:eastAsia="宋体"/>
                <w:lang w:val="en-US" w:eastAsia="zh-CN"/>
              </w:rPr>
              <w:t>The 5G system shall allow an authorized UE to discover the precise location of other UEs in proximity that are authorized to provide sensing measurement data from non-RF sensors and sensing results from RF sensors, within a maximum latency.</w:t>
            </w:r>
          </w:p>
          <w:p>
            <w:pPr>
              <w:pStyle w:val="56"/>
              <w:rPr>
                <w:szCs w:val="18"/>
                <w:lang w:val="en-US"/>
              </w:rPr>
            </w:pPr>
          </w:p>
        </w:tc>
        <w:tc>
          <w:tcPr>
            <w:tcW w:w="3870" w:type="dxa"/>
            <w:shd w:val="clear" w:color="auto" w:fill="auto"/>
            <w:vAlign w:val="center"/>
          </w:tcPr>
          <w:p>
            <w:pPr>
              <w:pStyle w:val="57"/>
              <w:rPr>
                <w:color w:val="4F81BD" w:themeColor="accent1"/>
                <w14:textFill>
                  <w14:solidFill>
                    <w14:schemeClr w14:val="accent1"/>
                  </w14:solidFill>
                </w14:textFill>
              </w:rPr>
            </w:pPr>
            <w:r>
              <w:rPr>
                <w:rFonts w:eastAsia="宋体"/>
                <w:color w:val="4F81BD" w:themeColor="accent1"/>
                <w:lang w:val="en-US" w:eastAsia="zh-CN"/>
                <w14:textFill>
                  <w14:solidFill>
                    <w14:schemeClr w14:val="accent1"/>
                  </w14:solidFill>
                </w14:textFill>
              </w:rPr>
              <w:t>[CPR 7.3-1]The 5G system shall allow an authorized UE to discover the precise location of other UEs in proximity that are authorized to provide sensing measurement data</w:t>
            </w:r>
          </w:p>
        </w:tc>
        <w:tc>
          <w:tcPr>
            <w:tcW w:w="1722" w:type="dxa"/>
          </w:tcPr>
          <w:p>
            <w:pPr>
              <w:pStyle w:val="57"/>
            </w:pPr>
            <w:r>
              <w:rPr>
                <w:rFonts w:eastAsia="宋体"/>
                <w:color w:val="auto"/>
                <w:lang w:val="en-US" w:eastAsia="zh-CN"/>
              </w:rPr>
              <w:t>[P.R.5.19.6-1] measurement data from non-RF sensors is put into CPR XXX</w:t>
            </w:r>
          </w:p>
        </w:tc>
      </w:tr>
    </w:tbl>
    <w:p>
      <w:pPr>
        <w:overflowPunct w:val="0"/>
        <w:autoSpaceDE w:val="0"/>
        <w:autoSpaceDN w:val="0"/>
        <w:adjustRightInd w:val="0"/>
        <w:spacing w:before="120" w:after="120"/>
        <w:jc w:val="both"/>
        <w:textAlignment w:val="baseline"/>
        <w:rPr>
          <w:rFonts w:ascii="Arial" w:hAnsi="Arial" w:eastAsia="Calibri" w:cs="Arial"/>
          <w:iCs/>
          <w:kern w:val="2"/>
          <w:sz w:val="21"/>
          <w:szCs w:val="32"/>
          <w:lang w:val="en-US" w:eastAsia="zh-CN"/>
        </w:rPr>
      </w:pPr>
    </w:p>
    <w:p>
      <w:pPr>
        <w:overflowPunct w:val="0"/>
        <w:autoSpaceDE w:val="0"/>
        <w:autoSpaceDN w:val="0"/>
        <w:adjustRightInd w:val="0"/>
        <w:spacing w:before="120" w:after="120"/>
        <w:ind w:left="400" w:leftChars="200" w:firstLine="20"/>
        <w:jc w:val="both"/>
        <w:textAlignment w:val="baseline"/>
        <w:rPr>
          <w:rFonts w:ascii="Arial" w:hAnsi="Arial" w:eastAsia="Calibri" w:cs="Arial"/>
          <w:b/>
          <w:bCs/>
          <w:iCs/>
          <w:color w:val="4F81BD" w:themeColor="accent1"/>
          <w:kern w:val="2"/>
          <w:sz w:val="21"/>
          <w:szCs w:val="32"/>
          <w:lang w:val="en-US" w:eastAsia="zh-CN"/>
          <w14:textFill>
            <w14:solidFill>
              <w14:schemeClr w14:val="accent1"/>
            </w14:solidFill>
          </w14:textFill>
        </w:rPr>
      </w:pPr>
      <w:r>
        <w:rPr>
          <w:rFonts w:ascii="Arial" w:hAnsi="Arial" w:eastAsia="Calibri" w:cs="Arial"/>
          <w:b/>
          <w:bCs/>
          <w:iCs/>
          <w:color w:val="4F81BD" w:themeColor="accent1"/>
          <w:kern w:val="2"/>
          <w:sz w:val="21"/>
          <w:szCs w:val="32"/>
          <w:lang w:val="en-US" w:eastAsia="zh-CN"/>
          <w14:textFill>
            <w14:solidFill>
              <w14:schemeClr w14:val="accent1"/>
            </w14:solidFill>
          </w14:textFill>
        </w:rPr>
        <w:t xml:space="preserve">Sub-clause 7.4: Management of Sensing operation </w:t>
      </w:r>
    </w:p>
    <w:p>
      <w:pPr>
        <w:overflowPunct w:val="0"/>
        <w:autoSpaceDE w:val="0"/>
        <w:autoSpaceDN w:val="0"/>
        <w:adjustRightInd w:val="0"/>
        <w:spacing w:before="120" w:after="120"/>
        <w:ind w:left="400" w:leftChars="200" w:firstLine="20"/>
        <w:jc w:val="both"/>
        <w:textAlignment w:val="baseline"/>
        <w:rPr>
          <w:rFonts w:ascii="Arial" w:hAnsi="Arial" w:eastAsia="Calibri" w:cs="Arial"/>
          <w:iCs/>
          <w:kern w:val="2"/>
          <w:sz w:val="21"/>
          <w:szCs w:val="32"/>
          <w:lang w:val="en-US" w:eastAsia="zh-CN"/>
        </w:rPr>
      </w:pPr>
      <w:r>
        <w:rPr>
          <w:rFonts w:ascii="Arial" w:hAnsi="Arial" w:eastAsia="Calibri" w:cs="Arial"/>
          <w:iCs/>
          <w:kern w:val="2"/>
          <w:sz w:val="21"/>
          <w:szCs w:val="32"/>
          <w:lang w:val="en-US" w:eastAsia="zh-CN"/>
        </w:rPr>
        <w:t xml:space="preserve">      To describe the requirement for how 5GS supports sensing service.</w:t>
      </w:r>
    </w:p>
    <w:p>
      <w:pPr>
        <w:pStyle w:val="96"/>
        <w:numPr>
          <w:ilvl w:val="2"/>
          <w:numId w:val="2"/>
        </w:numPr>
        <w:overflowPunct w:val="0"/>
        <w:autoSpaceDE w:val="0"/>
        <w:autoSpaceDN w:val="0"/>
        <w:adjustRightInd w:val="0"/>
        <w:spacing w:before="120" w:after="120"/>
        <w:jc w:val="both"/>
        <w:textAlignment w:val="baseline"/>
        <w:rPr>
          <w:rFonts w:ascii="Arial" w:hAnsi="Arial" w:eastAsia="Calibri" w:cs="Arial"/>
          <w:iCs/>
          <w:color w:val="4F81BD" w:themeColor="accent1"/>
          <w:kern w:val="2"/>
          <w:sz w:val="21"/>
          <w:szCs w:val="32"/>
          <w:lang w:val="en-US" w:eastAsia="zh-CN"/>
          <w14:textFill>
            <w14:solidFill>
              <w14:schemeClr w14:val="accent1"/>
            </w14:solidFill>
          </w14:textFill>
        </w:rPr>
      </w:pPr>
      <w:r>
        <w:rPr>
          <w:rFonts w:ascii="Arial" w:hAnsi="Arial" w:eastAsia="Calibri" w:cs="Arial"/>
          <w:iCs/>
          <w:color w:val="4F81BD" w:themeColor="accent1"/>
          <w:kern w:val="2"/>
          <w:sz w:val="21"/>
          <w:szCs w:val="32"/>
          <w:lang w:val="en-US" w:eastAsia="zh-CN"/>
          <w14:textFill>
            <w14:solidFill>
              <w14:schemeClr w14:val="accent1"/>
            </w14:solidFill>
          </w14:textFill>
        </w:rPr>
        <w:t xml:space="preserve">UE </w:t>
      </w:r>
    </w:p>
    <w:tbl>
      <w:tblPr>
        <w:tblStyle w:val="44"/>
        <w:tblW w:w="1051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3780"/>
        <w:gridCol w:w="3870"/>
        <w:gridCol w:w="1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tcPr>
          <w:p>
            <w:pPr>
              <w:pStyle w:val="56"/>
            </w:pPr>
            <w:r>
              <w:rPr>
                <w:b/>
                <w:bCs/>
              </w:rPr>
              <w:t>CPR #</w:t>
            </w:r>
          </w:p>
        </w:tc>
        <w:tc>
          <w:tcPr>
            <w:tcW w:w="3780" w:type="dxa"/>
            <w:shd w:val="clear" w:color="auto" w:fill="auto"/>
          </w:tcPr>
          <w:p>
            <w:pPr>
              <w:pStyle w:val="56"/>
              <w:rPr>
                <w:szCs w:val="18"/>
              </w:rPr>
            </w:pPr>
            <w:r>
              <w:rPr>
                <w:b/>
                <w:bCs/>
              </w:rPr>
              <w:t>Original Potential Requirement No.</w:t>
            </w:r>
          </w:p>
        </w:tc>
        <w:tc>
          <w:tcPr>
            <w:tcW w:w="3870" w:type="dxa"/>
            <w:shd w:val="clear" w:color="auto" w:fill="auto"/>
          </w:tcPr>
          <w:p>
            <w:pPr>
              <w:pStyle w:val="57"/>
            </w:pPr>
            <w:r>
              <w:rPr>
                <w:b/>
                <w:bCs/>
              </w:rPr>
              <w:t>Consolidated Potential Requirement</w:t>
            </w:r>
          </w:p>
        </w:tc>
        <w:tc>
          <w:tcPr>
            <w:tcW w:w="1722" w:type="dxa"/>
          </w:tcPr>
          <w:p>
            <w:pPr>
              <w:pStyle w:val="57"/>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tcPr>
          <w:p>
            <w:pPr>
              <w:pStyle w:val="56"/>
            </w:pPr>
            <w:r>
              <w:rPr>
                <w:color w:val="4F81BD" w:themeColor="accent1"/>
                <w14:textFill>
                  <w14:solidFill>
                    <w14:schemeClr w14:val="accent1"/>
                  </w14:solidFill>
                </w14:textFill>
              </w:rPr>
              <w:t>7.4.1-1</w:t>
            </w:r>
          </w:p>
        </w:tc>
        <w:tc>
          <w:tcPr>
            <w:tcW w:w="3780" w:type="dxa"/>
            <w:shd w:val="clear" w:color="auto" w:fill="auto"/>
          </w:tcPr>
          <w:p>
            <w:pPr>
              <w:pStyle w:val="56"/>
              <w:rPr>
                <w:szCs w:val="18"/>
                <w:lang w:val="en-US"/>
              </w:rPr>
            </w:pPr>
          </w:p>
        </w:tc>
        <w:tc>
          <w:tcPr>
            <w:tcW w:w="3870" w:type="dxa"/>
            <w:shd w:val="clear" w:color="auto" w:fill="auto"/>
            <w:vAlign w:val="bottom"/>
          </w:tcPr>
          <w:p>
            <w:pPr>
              <w:pStyle w:val="57"/>
            </w:pPr>
          </w:p>
        </w:tc>
        <w:tc>
          <w:tcPr>
            <w:tcW w:w="1722" w:type="dxa"/>
          </w:tcPr>
          <w:p>
            <w:pPr>
              <w:pStyle w:val="57"/>
            </w:pPr>
          </w:p>
        </w:tc>
      </w:tr>
    </w:tbl>
    <w:p>
      <w:pPr>
        <w:pStyle w:val="96"/>
        <w:overflowPunct w:val="0"/>
        <w:autoSpaceDE w:val="0"/>
        <w:autoSpaceDN w:val="0"/>
        <w:adjustRightInd w:val="0"/>
        <w:spacing w:before="120" w:after="120"/>
        <w:ind w:left="780"/>
        <w:jc w:val="both"/>
        <w:textAlignment w:val="baseline"/>
        <w:rPr>
          <w:rFonts w:ascii="Arial" w:hAnsi="Arial" w:eastAsia="Calibri" w:cs="Arial"/>
          <w:iCs/>
          <w:kern w:val="2"/>
          <w:sz w:val="21"/>
          <w:szCs w:val="32"/>
          <w:lang w:val="en-US" w:eastAsia="zh-CN"/>
        </w:rPr>
      </w:pPr>
    </w:p>
    <w:p>
      <w:pPr>
        <w:pStyle w:val="96"/>
        <w:numPr>
          <w:ilvl w:val="2"/>
          <w:numId w:val="2"/>
        </w:numPr>
        <w:overflowPunct w:val="0"/>
        <w:autoSpaceDE w:val="0"/>
        <w:autoSpaceDN w:val="0"/>
        <w:adjustRightInd w:val="0"/>
        <w:spacing w:before="120" w:after="120"/>
        <w:jc w:val="both"/>
        <w:textAlignment w:val="baseline"/>
        <w:rPr>
          <w:rFonts w:ascii="Arial" w:hAnsi="Arial" w:eastAsia="Calibri" w:cs="Arial"/>
          <w:iCs/>
          <w:color w:val="4F81BD" w:themeColor="accent1"/>
          <w:kern w:val="2"/>
          <w:sz w:val="21"/>
          <w:szCs w:val="32"/>
          <w:lang w:val="en-US" w:eastAsia="zh-CN"/>
          <w14:textFill>
            <w14:solidFill>
              <w14:schemeClr w14:val="accent1"/>
            </w14:solidFill>
          </w14:textFill>
        </w:rPr>
      </w:pPr>
      <w:r>
        <w:rPr>
          <w:rFonts w:ascii="Arial" w:hAnsi="Arial" w:eastAsia="Calibri" w:cs="Arial"/>
          <w:iCs/>
          <w:color w:val="4F81BD" w:themeColor="accent1"/>
          <w:kern w:val="2"/>
          <w:sz w:val="21"/>
          <w:szCs w:val="32"/>
          <w:lang w:val="en-US" w:eastAsia="zh-CN"/>
          <w14:textFill>
            <w14:solidFill>
              <w14:schemeClr w14:val="accent1"/>
            </w14:solidFill>
          </w14:textFill>
        </w:rPr>
        <w:t>RAN</w:t>
      </w:r>
    </w:p>
    <w:tbl>
      <w:tblPr>
        <w:tblStyle w:val="44"/>
        <w:tblW w:w="1051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3780"/>
        <w:gridCol w:w="3870"/>
        <w:gridCol w:w="1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tcPr>
          <w:p>
            <w:pPr>
              <w:pStyle w:val="56"/>
            </w:pPr>
            <w:r>
              <w:rPr>
                <w:b/>
                <w:bCs/>
              </w:rPr>
              <w:t>CPR #</w:t>
            </w:r>
          </w:p>
        </w:tc>
        <w:tc>
          <w:tcPr>
            <w:tcW w:w="3780" w:type="dxa"/>
            <w:shd w:val="clear" w:color="auto" w:fill="auto"/>
          </w:tcPr>
          <w:p>
            <w:pPr>
              <w:pStyle w:val="56"/>
              <w:rPr>
                <w:szCs w:val="18"/>
              </w:rPr>
            </w:pPr>
            <w:r>
              <w:rPr>
                <w:b/>
                <w:bCs/>
              </w:rPr>
              <w:t>Original Potential Requirement No.</w:t>
            </w:r>
          </w:p>
        </w:tc>
        <w:tc>
          <w:tcPr>
            <w:tcW w:w="3870" w:type="dxa"/>
            <w:shd w:val="clear" w:color="auto" w:fill="auto"/>
          </w:tcPr>
          <w:p>
            <w:pPr>
              <w:pStyle w:val="57"/>
            </w:pPr>
            <w:r>
              <w:rPr>
                <w:b/>
                <w:bCs/>
              </w:rPr>
              <w:t>Consolidated Potential Requirement</w:t>
            </w:r>
          </w:p>
        </w:tc>
        <w:tc>
          <w:tcPr>
            <w:tcW w:w="1722" w:type="dxa"/>
          </w:tcPr>
          <w:p>
            <w:pPr>
              <w:pStyle w:val="57"/>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tcPr>
          <w:p>
            <w:pPr>
              <w:pStyle w:val="56"/>
            </w:pPr>
            <w:r>
              <w:rPr>
                <w:color w:val="4F81BD" w:themeColor="accent1"/>
                <w14:textFill>
                  <w14:solidFill>
                    <w14:schemeClr w14:val="accent1"/>
                  </w14:solidFill>
                </w14:textFill>
              </w:rPr>
              <w:t>7.4.2-1</w:t>
            </w:r>
          </w:p>
        </w:tc>
        <w:tc>
          <w:tcPr>
            <w:tcW w:w="3780" w:type="dxa"/>
            <w:shd w:val="clear" w:color="auto" w:fill="auto"/>
          </w:tcPr>
          <w:p>
            <w:pPr>
              <w:pStyle w:val="56"/>
              <w:rPr>
                <w:szCs w:val="18"/>
              </w:rPr>
            </w:pPr>
          </w:p>
        </w:tc>
        <w:tc>
          <w:tcPr>
            <w:tcW w:w="3870" w:type="dxa"/>
            <w:shd w:val="clear" w:color="auto" w:fill="auto"/>
            <w:vAlign w:val="bottom"/>
          </w:tcPr>
          <w:p>
            <w:pPr>
              <w:pStyle w:val="57"/>
            </w:pPr>
          </w:p>
        </w:tc>
        <w:tc>
          <w:tcPr>
            <w:tcW w:w="1722" w:type="dxa"/>
          </w:tcPr>
          <w:p>
            <w:pPr>
              <w:pStyle w:val="57"/>
            </w:pPr>
          </w:p>
        </w:tc>
      </w:tr>
    </w:tbl>
    <w:p>
      <w:pPr>
        <w:pStyle w:val="96"/>
        <w:overflowPunct w:val="0"/>
        <w:autoSpaceDE w:val="0"/>
        <w:autoSpaceDN w:val="0"/>
        <w:adjustRightInd w:val="0"/>
        <w:spacing w:before="120" w:after="120"/>
        <w:ind w:left="780"/>
        <w:jc w:val="both"/>
        <w:textAlignment w:val="baseline"/>
        <w:rPr>
          <w:rFonts w:ascii="Arial" w:hAnsi="Arial" w:eastAsia="Calibri" w:cs="Arial"/>
          <w:iCs/>
          <w:kern w:val="2"/>
          <w:sz w:val="21"/>
          <w:szCs w:val="32"/>
          <w:lang w:val="en-US" w:eastAsia="zh-CN"/>
        </w:rPr>
      </w:pPr>
    </w:p>
    <w:p>
      <w:pPr>
        <w:pStyle w:val="96"/>
        <w:numPr>
          <w:ilvl w:val="2"/>
          <w:numId w:val="2"/>
        </w:numPr>
        <w:overflowPunct w:val="0"/>
        <w:autoSpaceDE w:val="0"/>
        <w:autoSpaceDN w:val="0"/>
        <w:adjustRightInd w:val="0"/>
        <w:spacing w:before="120" w:after="120"/>
        <w:jc w:val="both"/>
        <w:textAlignment w:val="baseline"/>
        <w:rPr>
          <w:rFonts w:ascii="Arial" w:hAnsi="Arial" w:eastAsia="Calibri" w:cs="Arial"/>
          <w:iCs/>
          <w:color w:val="4F81BD" w:themeColor="accent1"/>
          <w:kern w:val="2"/>
          <w:sz w:val="21"/>
          <w:szCs w:val="32"/>
          <w:lang w:val="en-US" w:eastAsia="zh-CN"/>
          <w14:textFill>
            <w14:solidFill>
              <w14:schemeClr w14:val="accent1"/>
            </w14:solidFill>
          </w14:textFill>
        </w:rPr>
      </w:pPr>
      <w:r>
        <w:rPr>
          <w:rFonts w:ascii="Arial" w:hAnsi="Arial" w:eastAsia="Calibri" w:cs="Arial"/>
          <w:iCs/>
          <w:color w:val="4F81BD" w:themeColor="accent1"/>
          <w:kern w:val="2"/>
          <w:sz w:val="21"/>
          <w:szCs w:val="32"/>
          <w:lang w:val="en-US" w:eastAsia="zh-CN"/>
          <w14:textFill>
            <w14:solidFill>
              <w14:schemeClr w14:val="accent1"/>
            </w14:solidFill>
          </w14:textFill>
        </w:rPr>
        <w:t>Mixed – Both UE and RA</w:t>
      </w:r>
      <w:r>
        <w:rPr>
          <w:rFonts w:hint="default" w:ascii="Arial" w:hAnsi="Arial" w:eastAsia="Calibri" w:cs="Arial"/>
          <w:iCs/>
          <w:color w:val="4F81BD" w:themeColor="accent1"/>
          <w:kern w:val="2"/>
          <w:sz w:val="21"/>
          <w:szCs w:val="32"/>
          <w:lang w:val="en-US" w:eastAsia="zh-CN"/>
          <w14:textFill>
            <w14:solidFill>
              <w14:schemeClr w14:val="accent1"/>
            </w14:solidFill>
          </w14:textFill>
        </w:rPr>
        <w:t>N</w:t>
      </w:r>
    </w:p>
    <w:tbl>
      <w:tblPr>
        <w:tblStyle w:val="44"/>
        <w:tblW w:w="1051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3780"/>
        <w:gridCol w:w="3870"/>
        <w:gridCol w:w="1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tcPr>
          <w:p>
            <w:pPr>
              <w:pStyle w:val="56"/>
              <w:rPr>
                <w:b/>
                <w:bCs/>
              </w:rPr>
            </w:pPr>
            <w:r>
              <w:rPr>
                <w:b/>
                <w:bCs/>
              </w:rPr>
              <w:t>CPR #</w:t>
            </w:r>
          </w:p>
        </w:tc>
        <w:tc>
          <w:tcPr>
            <w:tcW w:w="3780" w:type="dxa"/>
            <w:shd w:val="clear" w:color="auto" w:fill="auto"/>
          </w:tcPr>
          <w:p>
            <w:pPr>
              <w:pStyle w:val="56"/>
              <w:rPr>
                <w:b/>
                <w:bCs/>
                <w:szCs w:val="18"/>
              </w:rPr>
            </w:pPr>
            <w:r>
              <w:rPr>
                <w:b/>
                <w:bCs/>
              </w:rPr>
              <w:t>Original Potential Requirement No.</w:t>
            </w:r>
          </w:p>
        </w:tc>
        <w:tc>
          <w:tcPr>
            <w:tcW w:w="3870" w:type="dxa"/>
            <w:shd w:val="clear" w:color="auto" w:fill="auto"/>
          </w:tcPr>
          <w:p>
            <w:pPr>
              <w:pStyle w:val="57"/>
              <w:rPr>
                <w:b/>
                <w:bCs/>
              </w:rPr>
            </w:pPr>
            <w:r>
              <w:rPr>
                <w:b/>
                <w:bCs/>
              </w:rPr>
              <w:t>Consolidated Potential Requirement</w:t>
            </w:r>
          </w:p>
        </w:tc>
        <w:tc>
          <w:tcPr>
            <w:tcW w:w="1722" w:type="dxa"/>
          </w:tcPr>
          <w:p>
            <w:pPr>
              <w:pStyle w:val="57"/>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vAlign w:val="center"/>
          </w:tcPr>
          <w:p>
            <w:pPr>
              <w:pStyle w:val="56"/>
            </w:pPr>
            <w:r>
              <w:rPr>
                <w:color w:val="4F81BD" w:themeColor="accent1"/>
                <w14:textFill>
                  <w14:solidFill>
                    <w14:schemeClr w14:val="accent1"/>
                  </w14:solidFill>
                </w14:textFill>
              </w:rPr>
              <w:t>7.4.3-1</w:t>
            </w:r>
          </w:p>
        </w:tc>
        <w:tc>
          <w:tcPr>
            <w:tcW w:w="3780" w:type="dxa"/>
            <w:shd w:val="clear" w:color="auto" w:fill="auto"/>
          </w:tcPr>
          <w:p>
            <w:pPr>
              <w:pStyle w:val="56"/>
              <w:jc w:val="left"/>
              <w:rPr>
                <w:rFonts w:eastAsia="宋体"/>
                <w:lang w:val="en-US" w:eastAsia="zh-CN"/>
              </w:rPr>
            </w:pPr>
            <w:r>
              <w:rPr>
                <w:rFonts w:eastAsia="宋体"/>
                <w:lang w:val="en-US" w:eastAsia="zh-CN"/>
              </w:rPr>
              <w:t>[PR 5.17.6-3] The 5G system shall support a mechanism for two or more authorized UEs and/or RAN entities to take part in the wireless sensing of a target, whereby the authorization may be provided based on location.</w:t>
            </w:r>
          </w:p>
          <w:p>
            <w:pPr>
              <w:pStyle w:val="56"/>
              <w:rPr>
                <w:szCs w:val="18"/>
                <w:lang w:val="en-US"/>
              </w:rPr>
            </w:pPr>
          </w:p>
        </w:tc>
        <w:tc>
          <w:tcPr>
            <w:tcW w:w="3870" w:type="dxa"/>
            <w:shd w:val="clear" w:color="auto" w:fill="auto"/>
            <w:vAlign w:val="center"/>
          </w:tcPr>
          <w:p>
            <w:pPr>
              <w:pStyle w:val="57"/>
            </w:pPr>
            <w:r>
              <w:rPr>
                <w:rFonts w:eastAsia="宋体"/>
                <w:color w:val="4F81BD" w:themeColor="accent1"/>
                <w:lang w:val="en-US" w:eastAsia="zh-CN"/>
                <w14:textFill>
                  <w14:solidFill>
                    <w14:schemeClr w14:val="accent1"/>
                  </w14:solidFill>
                </w14:textFill>
              </w:rPr>
              <w:t>[CPR 7.4.3-1] The 5G system shall support a mechanism for mutiple authorized UEs and/or RAN entities to take part in the wireless sensing of a target</w:t>
            </w:r>
          </w:p>
        </w:tc>
        <w:tc>
          <w:tcPr>
            <w:tcW w:w="1722" w:type="dxa"/>
            <w:vAlign w:val="center"/>
          </w:tcPr>
          <w:p>
            <w:pPr>
              <w:pStyle w:val="57"/>
            </w:pPr>
            <w:r>
              <w:rPr>
                <w:rFonts w:eastAsia="宋体"/>
                <w:lang w:val="en-US" w:eastAsia="zh-CN"/>
              </w:rPr>
              <w:t>[PR 5.17.6-3] Authorization part is covered in CPR 7.1</w:t>
            </w:r>
          </w:p>
        </w:tc>
      </w:tr>
    </w:tbl>
    <w:p>
      <w:pPr>
        <w:pStyle w:val="96"/>
        <w:overflowPunct w:val="0"/>
        <w:autoSpaceDE w:val="0"/>
        <w:autoSpaceDN w:val="0"/>
        <w:adjustRightInd w:val="0"/>
        <w:spacing w:before="120" w:after="120"/>
        <w:ind w:left="780"/>
        <w:jc w:val="both"/>
        <w:textAlignment w:val="baseline"/>
        <w:rPr>
          <w:rFonts w:ascii="Arial" w:hAnsi="Arial" w:eastAsia="Calibri" w:cs="Arial"/>
          <w:iCs/>
          <w:kern w:val="2"/>
          <w:sz w:val="21"/>
          <w:szCs w:val="32"/>
          <w:lang w:val="en-US" w:eastAsia="zh-CN"/>
        </w:rPr>
      </w:pPr>
    </w:p>
    <w:p>
      <w:pPr>
        <w:overflowPunct w:val="0"/>
        <w:autoSpaceDE w:val="0"/>
        <w:autoSpaceDN w:val="0"/>
        <w:adjustRightInd w:val="0"/>
        <w:spacing w:before="120" w:after="120"/>
        <w:ind w:left="400" w:leftChars="200" w:firstLine="20"/>
        <w:jc w:val="both"/>
        <w:textAlignment w:val="baseline"/>
        <w:rPr>
          <w:rFonts w:ascii="Arial" w:hAnsi="Arial" w:eastAsia="Calibri" w:cs="Arial"/>
          <w:b/>
          <w:bCs/>
          <w:iCs/>
          <w:color w:val="4F81BD" w:themeColor="accent1"/>
          <w:kern w:val="2"/>
          <w:sz w:val="21"/>
          <w:szCs w:val="32"/>
          <w:lang w:val="en-US" w:eastAsia="zh-CN"/>
          <w14:textFill>
            <w14:solidFill>
              <w14:schemeClr w14:val="accent1"/>
            </w14:solidFill>
          </w14:textFill>
        </w:rPr>
      </w:pPr>
      <w:r>
        <w:rPr>
          <w:rFonts w:ascii="Arial" w:hAnsi="Arial" w:eastAsia="Calibri" w:cs="Arial"/>
          <w:b/>
          <w:bCs/>
          <w:iCs/>
          <w:color w:val="4F81BD" w:themeColor="accent1"/>
          <w:kern w:val="2"/>
          <w:sz w:val="21"/>
          <w:szCs w:val="32"/>
          <w:lang w:val="en-US" w:eastAsia="zh-CN"/>
          <w14:textFill>
            <w14:solidFill>
              <w14:schemeClr w14:val="accent1"/>
            </w14:solidFill>
          </w14:textFill>
        </w:rPr>
        <w:t>Sub-clause 7.5: Management of sensing data/information</w:t>
      </w:r>
    </w:p>
    <w:p>
      <w:pPr>
        <w:overflowPunct w:val="0"/>
        <w:autoSpaceDE w:val="0"/>
        <w:autoSpaceDN w:val="0"/>
        <w:adjustRightInd w:val="0"/>
        <w:spacing w:before="120" w:after="120"/>
        <w:ind w:left="400" w:leftChars="200" w:firstLine="20"/>
        <w:jc w:val="both"/>
        <w:textAlignment w:val="baseline"/>
        <w:rPr>
          <w:rFonts w:ascii="Arial" w:hAnsi="Arial" w:eastAsia="Calibri" w:cs="Arial"/>
          <w:iCs/>
          <w:kern w:val="2"/>
          <w:sz w:val="21"/>
          <w:szCs w:val="32"/>
          <w:lang w:val="en-US" w:eastAsia="zh-CN"/>
        </w:rPr>
      </w:pPr>
      <w:r>
        <w:rPr>
          <w:rFonts w:ascii="Arial" w:hAnsi="Arial" w:eastAsia="Calibri" w:cs="Arial"/>
          <w:iCs/>
          <w:kern w:val="2"/>
          <w:sz w:val="21"/>
          <w:szCs w:val="32"/>
          <w:lang w:val="en-US" w:eastAsia="zh-CN"/>
        </w:rPr>
        <w:t xml:space="preserve">      To describe the requirement for how 5GS process sensing data/information, including collection, transferring and reporting</w:t>
      </w:r>
    </w:p>
    <w:tbl>
      <w:tblPr>
        <w:tblStyle w:val="44"/>
        <w:tblW w:w="1051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3780"/>
        <w:gridCol w:w="3870"/>
        <w:gridCol w:w="1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42" w:type="dxa"/>
          </w:tcPr>
          <w:p>
            <w:pPr>
              <w:pStyle w:val="56"/>
            </w:pPr>
            <w:r>
              <w:rPr>
                <w:b/>
                <w:bCs/>
              </w:rPr>
              <w:t>CPR #</w:t>
            </w:r>
          </w:p>
        </w:tc>
        <w:tc>
          <w:tcPr>
            <w:tcW w:w="3780" w:type="dxa"/>
            <w:shd w:val="clear" w:color="auto" w:fill="auto"/>
          </w:tcPr>
          <w:p>
            <w:pPr>
              <w:pStyle w:val="56"/>
              <w:rPr>
                <w:szCs w:val="18"/>
              </w:rPr>
            </w:pPr>
            <w:r>
              <w:rPr>
                <w:b/>
                <w:bCs/>
              </w:rPr>
              <w:t>Original Potential Requirement No.</w:t>
            </w:r>
          </w:p>
        </w:tc>
        <w:tc>
          <w:tcPr>
            <w:tcW w:w="3870" w:type="dxa"/>
            <w:shd w:val="clear" w:color="auto" w:fill="auto"/>
          </w:tcPr>
          <w:p>
            <w:pPr>
              <w:pStyle w:val="57"/>
            </w:pPr>
            <w:r>
              <w:rPr>
                <w:b/>
                <w:bCs/>
              </w:rPr>
              <w:t>Consolidated Potential Requirement</w:t>
            </w:r>
          </w:p>
        </w:tc>
        <w:tc>
          <w:tcPr>
            <w:tcW w:w="1722" w:type="dxa"/>
          </w:tcPr>
          <w:p>
            <w:pPr>
              <w:pStyle w:val="57"/>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42" w:type="dxa"/>
          </w:tcPr>
          <w:p>
            <w:pPr>
              <w:pStyle w:val="56"/>
            </w:pPr>
            <w:r>
              <w:rPr>
                <w:color w:val="4F81BD" w:themeColor="accent1"/>
                <w14:textFill>
                  <w14:solidFill>
                    <w14:schemeClr w14:val="accent1"/>
                  </w14:solidFill>
                </w14:textFill>
              </w:rPr>
              <w:t>CPR</w:t>
            </w:r>
            <w:r>
              <w:rPr>
                <w:rFonts w:hint="default"/>
                <w:color w:val="4F81BD" w:themeColor="accent1"/>
                <w:lang w:val="en-US"/>
                <w14:textFill>
                  <w14:solidFill>
                    <w14:schemeClr w14:val="accent1"/>
                  </w14:solidFill>
                </w14:textFill>
              </w:rPr>
              <w:t xml:space="preserve"> </w:t>
            </w:r>
            <w:r>
              <w:rPr>
                <w:color w:val="4F81BD" w:themeColor="accent1"/>
                <w14:textFill>
                  <w14:solidFill>
                    <w14:schemeClr w14:val="accent1"/>
                  </w14:solidFill>
                </w14:textFill>
              </w:rPr>
              <w:t>7.</w:t>
            </w:r>
            <w:r>
              <w:rPr>
                <w:rFonts w:hint="default"/>
                <w:color w:val="4F81BD" w:themeColor="accent1"/>
                <w:lang w:val="en-US"/>
                <w14:textFill>
                  <w14:solidFill>
                    <w14:schemeClr w14:val="accent1"/>
                  </w14:solidFill>
                </w14:textFill>
              </w:rPr>
              <w:t>5</w:t>
            </w:r>
            <w:r>
              <w:rPr>
                <w:color w:val="4F81BD" w:themeColor="accent1"/>
                <w14:textFill>
                  <w14:solidFill>
                    <w14:schemeClr w14:val="accent1"/>
                  </w14:solidFill>
                </w14:textFill>
              </w:rPr>
              <w:t>-1</w:t>
            </w:r>
          </w:p>
        </w:tc>
        <w:tc>
          <w:tcPr>
            <w:tcW w:w="3780" w:type="dxa"/>
            <w:shd w:val="clear" w:color="auto" w:fill="auto"/>
          </w:tcPr>
          <w:p>
            <w:pPr>
              <w:pStyle w:val="56"/>
              <w:rPr>
                <w:szCs w:val="18"/>
                <w:lang w:val="en-US"/>
              </w:rPr>
            </w:pPr>
          </w:p>
        </w:tc>
        <w:tc>
          <w:tcPr>
            <w:tcW w:w="3870" w:type="dxa"/>
            <w:shd w:val="clear" w:color="auto" w:fill="auto"/>
            <w:vAlign w:val="bottom"/>
          </w:tcPr>
          <w:p>
            <w:pPr>
              <w:pStyle w:val="57"/>
            </w:pPr>
          </w:p>
        </w:tc>
        <w:tc>
          <w:tcPr>
            <w:tcW w:w="1722" w:type="dxa"/>
          </w:tcPr>
          <w:p>
            <w:pPr>
              <w:pStyle w:val="57"/>
            </w:pPr>
          </w:p>
        </w:tc>
      </w:tr>
    </w:tbl>
    <w:p>
      <w:pPr>
        <w:overflowPunct w:val="0"/>
        <w:autoSpaceDE w:val="0"/>
        <w:autoSpaceDN w:val="0"/>
        <w:adjustRightInd w:val="0"/>
        <w:spacing w:before="120" w:after="120"/>
        <w:jc w:val="both"/>
        <w:textAlignment w:val="baseline"/>
        <w:rPr>
          <w:rFonts w:ascii="Arial" w:hAnsi="Arial" w:eastAsia="Calibri" w:cs="Arial"/>
          <w:iCs/>
          <w:kern w:val="2"/>
          <w:sz w:val="21"/>
          <w:szCs w:val="32"/>
          <w:lang w:val="en-US" w:eastAsia="zh-CN"/>
        </w:rPr>
      </w:pPr>
    </w:p>
    <w:p>
      <w:pPr>
        <w:overflowPunct w:val="0"/>
        <w:autoSpaceDE w:val="0"/>
        <w:autoSpaceDN w:val="0"/>
        <w:adjustRightInd w:val="0"/>
        <w:spacing w:before="120" w:after="120"/>
        <w:ind w:left="400" w:leftChars="200" w:firstLine="20"/>
        <w:jc w:val="both"/>
        <w:textAlignment w:val="baseline"/>
        <w:rPr>
          <w:rFonts w:ascii="Arial" w:hAnsi="Arial" w:eastAsia="Calibri" w:cs="Arial"/>
          <w:b/>
          <w:bCs/>
          <w:iCs/>
          <w:color w:val="4F81BD" w:themeColor="accent1"/>
          <w:kern w:val="2"/>
          <w:sz w:val="21"/>
          <w:szCs w:val="32"/>
          <w:lang w:val="en-US" w:eastAsia="zh-CN"/>
          <w14:textFill>
            <w14:solidFill>
              <w14:schemeClr w14:val="accent1"/>
            </w14:solidFill>
          </w14:textFill>
        </w:rPr>
      </w:pPr>
      <w:r>
        <w:rPr>
          <w:rFonts w:ascii="Arial" w:hAnsi="Arial" w:eastAsia="Calibri" w:cs="Arial"/>
          <w:b/>
          <w:bCs/>
          <w:iCs/>
          <w:color w:val="4F81BD" w:themeColor="accent1"/>
          <w:kern w:val="2"/>
          <w:sz w:val="21"/>
          <w:szCs w:val="32"/>
          <w:lang w:val="en-US" w:eastAsia="zh-CN"/>
          <w14:textFill>
            <w14:solidFill>
              <w14:schemeClr w14:val="accent1"/>
            </w14:solidFill>
          </w14:textFill>
        </w:rPr>
        <w:t>Sub-clause 7.6: Sensing information/capability exposure to 3rd party</w:t>
      </w:r>
    </w:p>
    <w:p>
      <w:pPr>
        <w:overflowPunct w:val="0"/>
        <w:autoSpaceDE w:val="0"/>
        <w:autoSpaceDN w:val="0"/>
        <w:adjustRightInd w:val="0"/>
        <w:spacing w:before="120" w:after="120"/>
        <w:ind w:left="400" w:leftChars="200" w:firstLine="20"/>
        <w:jc w:val="both"/>
        <w:textAlignment w:val="baseline"/>
        <w:rPr>
          <w:rFonts w:ascii="Arial" w:hAnsi="Arial" w:eastAsia="Calibri" w:cs="Arial"/>
          <w:iCs/>
          <w:kern w:val="2"/>
          <w:sz w:val="21"/>
          <w:szCs w:val="32"/>
          <w:lang w:val="en-US" w:eastAsia="zh-CN"/>
        </w:rPr>
      </w:pPr>
      <w:r>
        <w:rPr>
          <w:rFonts w:ascii="Arial" w:hAnsi="Arial" w:eastAsia="Calibri" w:cs="Arial"/>
          <w:iCs/>
          <w:kern w:val="2"/>
          <w:sz w:val="21"/>
          <w:szCs w:val="32"/>
          <w:lang w:val="en-US" w:eastAsia="zh-CN"/>
        </w:rPr>
        <w:t xml:space="preserve">      To describe the requirement for how 5GS provide sensing service</w:t>
      </w:r>
    </w:p>
    <w:tbl>
      <w:tblPr>
        <w:tblStyle w:val="44"/>
        <w:tblW w:w="1051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3780"/>
        <w:gridCol w:w="3870"/>
        <w:gridCol w:w="1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tcPr>
          <w:p>
            <w:pPr>
              <w:pStyle w:val="56"/>
            </w:pPr>
            <w:r>
              <w:rPr>
                <w:b/>
                <w:bCs/>
              </w:rPr>
              <w:t>CPR #</w:t>
            </w:r>
          </w:p>
        </w:tc>
        <w:tc>
          <w:tcPr>
            <w:tcW w:w="3780" w:type="dxa"/>
            <w:shd w:val="clear" w:color="auto" w:fill="auto"/>
          </w:tcPr>
          <w:p>
            <w:pPr>
              <w:pStyle w:val="56"/>
              <w:rPr>
                <w:szCs w:val="18"/>
              </w:rPr>
            </w:pPr>
            <w:r>
              <w:rPr>
                <w:b/>
                <w:bCs/>
              </w:rPr>
              <w:t>Original Potential Requirement No.</w:t>
            </w:r>
          </w:p>
        </w:tc>
        <w:tc>
          <w:tcPr>
            <w:tcW w:w="3870" w:type="dxa"/>
            <w:shd w:val="clear" w:color="auto" w:fill="auto"/>
          </w:tcPr>
          <w:p>
            <w:pPr>
              <w:pStyle w:val="57"/>
            </w:pPr>
            <w:r>
              <w:rPr>
                <w:b/>
                <w:bCs/>
              </w:rPr>
              <w:t>Consolidated Potential Requirement</w:t>
            </w:r>
          </w:p>
        </w:tc>
        <w:tc>
          <w:tcPr>
            <w:tcW w:w="1722" w:type="dxa"/>
          </w:tcPr>
          <w:p>
            <w:pPr>
              <w:pStyle w:val="57"/>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tcPr>
          <w:p>
            <w:pPr>
              <w:pStyle w:val="56"/>
            </w:pPr>
            <w:r>
              <w:rPr>
                <w:color w:val="4F81BD" w:themeColor="accent1"/>
                <w14:textFill>
                  <w14:solidFill>
                    <w14:schemeClr w14:val="accent1"/>
                  </w14:solidFill>
                </w14:textFill>
              </w:rPr>
              <w:t>CPR</w:t>
            </w:r>
            <w:r>
              <w:rPr>
                <w:rFonts w:hint="default"/>
                <w:color w:val="4F81BD" w:themeColor="accent1"/>
                <w:lang w:val="en-US"/>
                <w14:textFill>
                  <w14:solidFill>
                    <w14:schemeClr w14:val="accent1"/>
                  </w14:solidFill>
                </w14:textFill>
              </w:rPr>
              <w:t xml:space="preserve"> </w:t>
            </w:r>
            <w:r>
              <w:rPr>
                <w:color w:val="4F81BD" w:themeColor="accent1"/>
                <w14:textFill>
                  <w14:solidFill>
                    <w14:schemeClr w14:val="accent1"/>
                  </w14:solidFill>
                </w14:textFill>
              </w:rPr>
              <w:t>7.</w:t>
            </w:r>
            <w:r>
              <w:rPr>
                <w:rFonts w:hint="default"/>
                <w:color w:val="4F81BD" w:themeColor="accent1"/>
                <w:lang w:val="en-US"/>
                <w14:textFill>
                  <w14:solidFill>
                    <w14:schemeClr w14:val="accent1"/>
                  </w14:solidFill>
                </w14:textFill>
              </w:rPr>
              <w:t>8</w:t>
            </w:r>
            <w:r>
              <w:rPr>
                <w:color w:val="4F81BD" w:themeColor="accent1"/>
                <w14:textFill>
                  <w14:solidFill>
                    <w14:schemeClr w14:val="accent1"/>
                  </w14:solidFill>
                </w14:textFill>
              </w:rPr>
              <w:t>-1</w:t>
            </w:r>
          </w:p>
        </w:tc>
        <w:tc>
          <w:tcPr>
            <w:tcW w:w="3780" w:type="dxa"/>
            <w:shd w:val="clear" w:color="auto" w:fill="auto"/>
          </w:tcPr>
          <w:p>
            <w:pPr>
              <w:pStyle w:val="56"/>
              <w:rPr>
                <w:szCs w:val="18"/>
                <w:lang w:val="en-US"/>
              </w:rPr>
            </w:pPr>
          </w:p>
        </w:tc>
        <w:tc>
          <w:tcPr>
            <w:tcW w:w="3870" w:type="dxa"/>
            <w:shd w:val="clear" w:color="auto" w:fill="auto"/>
            <w:vAlign w:val="bottom"/>
          </w:tcPr>
          <w:p>
            <w:pPr>
              <w:pStyle w:val="57"/>
            </w:pPr>
          </w:p>
        </w:tc>
        <w:tc>
          <w:tcPr>
            <w:tcW w:w="1722" w:type="dxa"/>
          </w:tcPr>
          <w:p>
            <w:pPr>
              <w:pStyle w:val="57"/>
            </w:pPr>
          </w:p>
        </w:tc>
      </w:tr>
    </w:tbl>
    <w:p>
      <w:pPr>
        <w:overflowPunct w:val="0"/>
        <w:autoSpaceDE w:val="0"/>
        <w:autoSpaceDN w:val="0"/>
        <w:adjustRightInd w:val="0"/>
        <w:spacing w:before="120" w:after="120"/>
        <w:ind w:left="400" w:leftChars="200" w:firstLine="20"/>
        <w:jc w:val="both"/>
        <w:textAlignment w:val="baseline"/>
        <w:rPr>
          <w:rFonts w:ascii="Arial" w:hAnsi="Arial" w:eastAsia="Calibri" w:cs="Arial"/>
          <w:iCs/>
          <w:kern w:val="2"/>
          <w:sz w:val="21"/>
          <w:szCs w:val="32"/>
          <w:lang w:val="en-US" w:eastAsia="zh-CN"/>
        </w:rPr>
      </w:pPr>
    </w:p>
    <w:p>
      <w:pPr>
        <w:overflowPunct w:val="0"/>
        <w:autoSpaceDE w:val="0"/>
        <w:autoSpaceDN w:val="0"/>
        <w:adjustRightInd w:val="0"/>
        <w:spacing w:before="120" w:after="120"/>
        <w:ind w:left="400" w:leftChars="200" w:firstLine="20"/>
        <w:jc w:val="both"/>
        <w:textAlignment w:val="baseline"/>
        <w:rPr>
          <w:rFonts w:ascii="Arial" w:hAnsi="Arial" w:eastAsia="Calibri" w:cs="Arial"/>
          <w:iCs/>
          <w:kern w:val="2"/>
          <w:sz w:val="21"/>
          <w:szCs w:val="32"/>
          <w:lang w:val="en-US" w:eastAsia="zh-CN"/>
        </w:rPr>
      </w:pPr>
      <w:r>
        <w:rPr>
          <w:rFonts w:ascii="Arial" w:hAnsi="Arial" w:eastAsia="Calibri" w:cs="Arial"/>
          <w:b/>
          <w:bCs/>
          <w:iCs/>
          <w:color w:val="4F81BD" w:themeColor="accent1"/>
          <w:kern w:val="2"/>
          <w:sz w:val="21"/>
          <w:szCs w:val="32"/>
          <w:lang w:val="en-US" w:eastAsia="zh-CN"/>
          <w14:textFill>
            <w14:solidFill>
              <w14:schemeClr w14:val="accent1"/>
            </w14:solidFill>
          </w14:textFill>
        </w:rPr>
        <w:t xml:space="preserve">Sub-clause 7.7: Security and </w:t>
      </w:r>
      <w:r>
        <w:rPr>
          <w:rFonts w:ascii="Arial" w:hAnsi="Arial" w:eastAsia="宋体" w:cs="Arial"/>
          <w:b/>
          <w:bCs/>
          <w:color w:val="4F81BD" w:themeColor="accent1"/>
          <w:lang w:val="en-US" w:eastAsia="zh-CN"/>
          <w14:textFill>
            <w14:solidFill>
              <w14:schemeClr w14:val="accent1"/>
            </w14:solidFill>
          </w14:textFill>
        </w:rPr>
        <w:t>privacy requirements</w:t>
      </w:r>
      <w:bookmarkEnd w:id="0"/>
    </w:p>
    <w:tbl>
      <w:tblPr>
        <w:tblStyle w:val="44"/>
        <w:tblW w:w="1051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3780"/>
        <w:gridCol w:w="3870"/>
        <w:gridCol w:w="1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tcPr>
          <w:p>
            <w:pPr>
              <w:pStyle w:val="56"/>
            </w:pPr>
            <w:r>
              <w:rPr>
                <w:b/>
                <w:bCs/>
              </w:rPr>
              <w:t>CPR #</w:t>
            </w:r>
          </w:p>
        </w:tc>
        <w:tc>
          <w:tcPr>
            <w:tcW w:w="3780" w:type="dxa"/>
            <w:shd w:val="clear" w:color="auto" w:fill="auto"/>
          </w:tcPr>
          <w:p>
            <w:pPr>
              <w:pStyle w:val="56"/>
              <w:rPr>
                <w:szCs w:val="18"/>
              </w:rPr>
            </w:pPr>
            <w:r>
              <w:rPr>
                <w:b/>
                <w:bCs/>
              </w:rPr>
              <w:t>Original Potential Requirement No.</w:t>
            </w:r>
          </w:p>
        </w:tc>
        <w:tc>
          <w:tcPr>
            <w:tcW w:w="3870" w:type="dxa"/>
            <w:shd w:val="clear" w:color="auto" w:fill="auto"/>
          </w:tcPr>
          <w:p>
            <w:pPr>
              <w:pStyle w:val="57"/>
            </w:pPr>
            <w:r>
              <w:rPr>
                <w:b/>
                <w:bCs/>
              </w:rPr>
              <w:t>Consolidated Potential Requirement</w:t>
            </w:r>
          </w:p>
        </w:tc>
        <w:tc>
          <w:tcPr>
            <w:tcW w:w="1722" w:type="dxa"/>
          </w:tcPr>
          <w:p>
            <w:pPr>
              <w:pStyle w:val="57"/>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vAlign w:val="center"/>
          </w:tcPr>
          <w:p>
            <w:pPr>
              <w:pStyle w:val="56"/>
            </w:pPr>
            <w:r>
              <w:rPr>
                <w:color w:val="4F81BD" w:themeColor="accent1"/>
                <w14:textFill>
                  <w14:solidFill>
                    <w14:schemeClr w14:val="accent1"/>
                  </w14:solidFill>
                </w14:textFill>
              </w:rPr>
              <w:t>CPR 7.</w:t>
            </w:r>
            <w:r>
              <w:rPr>
                <w:rFonts w:hint="default"/>
                <w:color w:val="4F81BD" w:themeColor="accent1"/>
                <w:lang w:val="en-US"/>
                <w14:textFill>
                  <w14:solidFill>
                    <w14:schemeClr w14:val="accent1"/>
                  </w14:solidFill>
                </w14:textFill>
              </w:rPr>
              <w:t>7</w:t>
            </w:r>
            <w:r>
              <w:rPr>
                <w:color w:val="4F81BD" w:themeColor="accent1"/>
                <w14:textFill>
                  <w14:solidFill>
                    <w14:schemeClr w14:val="accent1"/>
                  </w14:solidFill>
                </w14:textFill>
              </w:rPr>
              <w:t>-1</w:t>
            </w:r>
          </w:p>
        </w:tc>
        <w:tc>
          <w:tcPr>
            <w:tcW w:w="3780" w:type="dxa"/>
            <w:shd w:val="clear" w:color="auto" w:fill="auto"/>
          </w:tcPr>
          <w:p>
            <w:pPr>
              <w:pStyle w:val="56"/>
              <w:rPr>
                <w:szCs w:val="18"/>
              </w:rPr>
            </w:pPr>
            <w:r>
              <w:rPr>
                <w:rFonts w:eastAsia="宋体"/>
                <w:lang w:val="en-US" w:eastAsia="zh-CN"/>
              </w:rPr>
              <w:t>[PR.5.21.6 - 001] Subject to user consent and national or regional regulation, based on operator policy, the 5G system shall be able to support secure means for RAN entities and authorized UEs to provide NR RF sensing measurement data and/or sensing results to a 5G network entity for processing</w:t>
            </w:r>
          </w:p>
        </w:tc>
        <w:tc>
          <w:tcPr>
            <w:tcW w:w="3870" w:type="dxa"/>
            <w:shd w:val="clear" w:color="auto" w:fill="auto"/>
            <w:vAlign w:val="center"/>
          </w:tcPr>
          <w:p>
            <w:pPr>
              <w:pStyle w:val="57"/>
            </w:pPr>
            <w:r>
              <w:rPr>
                <w:rFonts w:eastAsia="宋体"/>
                <w:lang w:val="en-US" w:eastAsia="zh-CN"/>
              </w:rPr>
              <w:t>[</w:t>
            </w:r>
            <w:r>
              <w:rPr>
                <w:rFonts w:eastAsia="宋体"/>
                <w:color w:val="4F81BD" w:themeColor="accent1"/>
                <w:lang w:val="en-US" w:eastAsia="zh-CN"/>
                <w14:textFill>
                  <w14:solidFill>
                    <w14:schemeClr w14:val="accent1"/>
                  </w14:solidFill>
                </w14:textFill>
              </w:rPr>
              <w:t xml:space="preserve">CPR 7.6-1] </w:t>
            </w:r>
            <w:r>
              <w:rPr>
                <w:rFonts w:eastAsia="宋体"/>
                <w:lang w:val="en-US" w:eastAsia="zh-CN"/>
              </w:rPr>
              <w:t>the 5G system shall be able to support secure means for data transportation among UE, RAN and 5GC</w:t>
            </w:r>
          </w:p>
        </w:tc>
        <w:tc>
          <w:tcPr>
            <w:tcW w:w="1722" w:type="dxa"/>
          </w:tcPr>
          <w:p>
            <w:pPr>
              <w:pStyle w:val="57"/>
            </w:pPr>
          </w:p>
        </w:tc>
      </w:tr>
    </w:tbl>
    <w:p>
      <w:pPr>
        <w:overflowPunct w:val="0"/>
        <w:autoSpaceDE w:val="0"/>
        <w:autoSpaceDN w:val="0"/>
        <w:adjustRightInd w:val="0"/>
        <w:spacing w:before="120" w:after="120"/>
        <w:jc w:val="both"/>
        <w:textAlignment w:val="baseline"/>
        <w:rPr>
          <w:rFonts w:hint="default" w:ascii="Arial" w:hAnsi="Arial" w:eastAsia="Calibri" w:cs="Arial"/>
          <w:b/>
          <w:bCs/>
          <w:iCs/>
          <w:color w:val="4F81BD" w:themeColor="accent1"/>
          <w:kern w:val="2"/>
          <w:sz w:val="21"/>
          <w:szCs w:val="32"/>
          <w:lang w:val="en-US" w:eastAsia="zh-CN"/>
          <w14:textFill>
            <w14:solidFill>
              <w14:schemeClr w14:val="accent1"/>
            </w14:solidFill>
          </w14:textFill>
        </w:rPr>
      </w:pPr>
      <w:r>
        <w:rPr>
          <w:rFonts w:hint="default" w:ascii="Arial" w:hAnsi="Arial" w:eastAsia="Calibri" w:cs="Arial"/>
          <w:b/>
          <w:bCs/>
          <w:iCs/>
          <w:color w:val="4F81BD" w:themeColor="accent1"/>
          <w:kern w:val="2"/>
          <w:sz w:val="21"/>
          <w:szCs w:val="32"/>
          <w:lang w:val="en-US" w:eastAsia="zh-CN"/>
          <w14:textFill>
            <w14:solidFill>
              <w14:schemeClr w14:val="accent1"/>
            </w14:solidFill>
          </w14:textFill>
        </w:rPr>
        <w:t xml:space="preserve">        </w:t>
      </w:r>
    </w:p>
    <w:p>
      <w:pPr>
        <w:overflowPunct w:val="0"/>
        <w:autoSpaceDE w:val="0"/>
        <w:autoSpaceDN w:val="0"/>
        <w:adjustRightInd w:val="0"/>
        <w:spacing w:before="120" w:after="120"/>
        <w:jc w:val="both"/>
        <w:textAlignment w:val="baseline"/>
        <w:rPr>
          <w:rFonts w:ascii="Arial" w:hAnsi="Arial" w:eastAsia="宋体" w:cs="Arial"/>
          <w:b/>
          <w:bCs/>
          <w:iCs/>
          <w:color w:val="4F81BD" w:themeColor="accent1"/>
          <w:kern w:val="2"/>
          <w:sz w:val="21"/>
          <w:szCs w:val="32"/>
          <w:lang w:val="en-US" w:eastAsia="zh-CN"/>
          <w14:textFill>
            <w14:solidFill>
              <w14:schemeClr w14:val="accent1"/>
            </w14:solidFill>
          </w14:textFill>
        </w:rPr>
      </w:pPr>
      <w:r>
        <w:rPr>
          <w:rFonts w:hint="default" w:ascii="Arial" w:hAnsi="Arial" w:eastAsia="Calibri" w:cs="Arial"/>
          <w:b/>
          <w:bCs/>
          <w:iCs/>
          <w:color w:val="4F81BD" w:themeColor="accent1"/>
          <w:kern w:val="2"/>
          <w:sz w:val="21"/>
          <w:szCs w:val="32"/>
          <w:lang w:val="en-US" w:eastAsia="zh-CN"/>
          <w14:textFill>
            <w14:solidFill>
              <w14:schemeClr w14:val="accent1"/>
            </w14:solidFill>
          </w14:textFill>
        </w:rPr>
        <w:t xml:space="preserve">        </w:t>
      </w:r>
      <w:r>
        <w:rPr>
          <w:rFonts w:ascii="Arial" w:hAnsi="Arial" w:eastAsia="Calibri" w:cs="Arial"/>
          <w:b/>
          <w:bCs/>
          <w:iCs/>
          <w:color w:val="4F81BD" w:themeColor="accent1"/>
          <w:kern w:val="2"/>
          <w:sz w:val="21"/>
          <w:szCs w:val="32"/>
          <w:lang w:val="en-US" w:eastAsia="zh-CN"/>
          <w14:textFill>
            <w14:solidFill>
              <w14:schemeClr w14:val="accent1"/>
            </w14:solidFill>
          </w14:textFill>
        </w:rPr>
        <w:t>Sub-clause 7.8: Charging</w:t>
      </w:r>
    </w:p>
    <w:tbl>
      <w:tblPr>
        <w:tblStyle w:val="44"/>
        <w:tblW w:w="1051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2"/>
        <w:gridCol w:w="3780"/>
        <w:gridCol w:w="3870"/>
        <w:gridCol w:w="1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tcPr>
          <w:p>
            <w:pPr>
              <w:pStyle w:val="56"/>
            </w:pPr>
            <w:r>
              <w:rPr>
                <w:b/>
                <w:bCs/>
              </w:rPr>
              <w:t>CPR #</w:t>
            </w:r>
          </w:p>
        </w:tc>
        <w:tc>
          <w:tcPr>
            <w:tcW w:w="3780" w:type="dxa"/>
            <w:shd w:val="clear" w:color="auto" w:fill="auto"/>
          </w:tcPr>
          <w:p>
            <w:pPr>
              <w:pStyle w:val="56"/>
              <w:rPr>
                <w:szCs w:val="18"/>
              </w:rPr>
            </w:pPr>
            <w:r>
              <w:rPr>
                <w:b/>
                <w:bCs/>
              </w:rPr>
              <w:t>Original Potential Requirement No.</w:t>
            </w:r>
          </w:p>
        </w:tc>
        <w:tc>
          <w:tcPr>
            <w:tcW w:w="3870" w:type="dxa"/>
            <w:shd w:val="clear" w:color="auto" w:fill="auto"/>
          </w:tcPr>
          <w:p>
            <w:pPr>
              <w:pStyle w:val="57"/>
            </w:pPr>
            <w:r>
              <w:rPr>
                <w:b/>
                <w:bCs/>
              </w:rPr>
              <w:t>Consolidated Potential Requirement</w:t>
            </w:r>
          </w:p>
        </w:tc>
        <w:tc>
          <w:tcPr>
            <w:tcW w:w="1722" w:type="dxa"/>
          </w:tcPr>
          <w:p>
            <w:pPr>
              <w:pStyle w:val="57"/>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42" w:type="dxa"/>
          </w:tcPr>
          <w:p>
            <w:pPr>
              <w:pStyle w:val="56"/>
            </w:pPr>
            <w:r>
              <w:rPr>
                <w:color w:val="4F81BD" w:themeColor="accent1"/>
                <w14:textFill>
                  <w14:solidFill>
                    <w14:schemeClr w14:val="accent1"/>
                  </w14:solidFill>
                </w14:textFill>
              </w:rPr>
              <w:t>CPR</w:t>
            </w:r>
            <w:r>
              <w:rPr>
                <w:rFonts w:hint="default"/>
                <w:color w:val="4F81BD" w:themeColor="accent1"/>
                <w:lang w:val="en-US"/>
                <w14:textFill>
                  <w14:solidFill>
                    <w14:schemeClr w14:val="accent1"/>
                  </w14:solidFill>
                </w14:textFill>
              </w:rPr>
              <w:t xml:space="preserve"> </w:t>
            </w:r>
            <w:r>
              <w:rPr>
                <w:color w:val="4F81BD" w:themeColor="accent1"/>
                <w14:textFill>
                  <w14:solidFill>
                    <w14:schemeClr w14:val="accent1"/>
                  </w14:solidFill>
                </w14:textFill>
              </w:rPr>
              <w:t>7.</w:t>
            </w:r>
            <w:r>
              <w:rPr>
                <w:rFonts w:hint="default"/>
                <w:color w:val="4F81BD" w:themeColor="accent1"/>
                <w:lang w:val="en-US"/>
                <w14:textFill>
                  <w14:solidFill>
                    <w14:schemeClr w14:val="accent1"/>
                  </w14:solidFill>
                </w14:textFill>
              </w:rPr>
              <w:t>8</w:t>
            </w:r>
            <w:r>
              <w:rPr>
                <w:color w:val="4F81BD" w:themeColor="accent1"/>
                <w14:textFill>
                  <w14:solidFill>
                    <w14:schemeClr w14:val="accent1"/>
                  </w14:solidFill>
                </w14:textFill>
              </w:rPr>
              <w:t>-1</w:t>
            </w:r>
          </w:p>
        </w:tc>
        <w:tc>
          <w:tcPr>
            <w:tcW w:w="3780" w:type="dxa"/>
            <w:shd w:val="clear" w:color="auto" w:fill="auto"/>
          </w:tcPr>
          <w:p>
            <w:pPr>
              <w:pStyle w:val="56"/>
              <w:rPr>
                <w:szCs w:val="18"/>
                <w:lang w:val="en-US"/>
              </w:rPr>
            </w:pPr>
          </w:p>
        </w:tc>
        <w:tc>
          <w:tcPr>
            <w:tcW w:w="3870" w:type="dxa"/>
            <w:shd w:val="clear" w:color="auto" w:fill="auto"/>
            <w:vAlign w:val="bottom"/>
          </w:tcPr>
          <w:p>
            <w:pPr>
              <w:pStyle w:val="57"/>
            </w:pPr>
          </w:p>
        </w:tc>
        <w:tc>
          <w:tcPr>
            <w:tcW w:w="1722" w:type="dxa"/>
          </w:tcPr>
          <w:p>
            <w:pPr>
              <w:pStyle w:val="57"/>
            </w:pPr>
          </w:p>
        </w:tc>
      </w:tr>
    </w:tbl>
    <w:p>
      <w:pPr>
        <w:overflowPunct w:val="0"/>
        <w:autoSpaceDE w:val="0"/>
        <w:autoSpaceDN w:val="0"/>
        <w:adjustRightInd w:val="0"/>
        <w:spacing w:before="120" w:after="120"/>
        <w:ind w:left="400" w:leftChars="200" w:firstLine="20"/>
        <w:jc w:val="both"/>
        <w:textAlignment w:val="baseline"/>
        <w:rPr>
          <w:rFonts w:ascii="Arial" w:hAnsi="Arial" w:eastAsia="Calibri" w:cs="Arial"/>
          <w:iCs/>
          <w:kern w:val="2"/>
          <w:sz w:val="21"/>
          <w:szCs w:val="32"/>
          <w:lang w:val="en-US" w:eastAsia="zh-CN"/>
        </w:rPr>
      </w:pPr>
    </w:p>
    <w:p>
      <w:pPr>
        <w:overflowPunct w:val="0"/>
        <w:autoSpaceDE w:val="0"/>
        <w:autoSpaceDN w:val="0"/>
        <w:adjustRightInd w:val="0"/>
        <w:spacing w:before="120" w:after="120"/>
        <w:ind w:left="400" w:leftChars="200" w:firstLine="20"/>
        <w:jc w:val="both"/>
        <w:textAlignment w:val="baseline"/>
        <w:rPr>
          <w:rFonts w:ascii="Arial" w:hAnsi="Arial" w:eastAsia="Calibri" w:cs="Arial"/>
          <w:iCs/>
          <w:kern w:val="2"/>
          <w:sz w:val="21"/>
          <w:szCs w:val="32"/>
          <w:lang w:val="en-US" w:eastAsia="zh-CN"/>
        </w:rPr>
      </w:pPr>
    </w:p>
    <w:p>
      <w:pPr>
        <w:overflowPunct w:val="0"/>
        <w:autoSpaceDE w:val="0"/>
        <w:autoSpaceDN w:val="0"/>
        <w:adjustRightInd w:val="0"/>
        <w:spacing w:before="120" w:after="120"/>
        <w:ind w:left="400" w:leftChars="200" w:firstLine="20"/>
        <w:jc w:val="both"/>
        <w:textAlignment w:val="baseline"/>
        <w:rPr>
          <w:rFonts w:ascii="Arial" w:hAnsi="Arial" w:eastAsia="Calibri" w:cs="Arial"/>
          <w:iCs/>
          <w:kern w:val="2"/>
          <w:sz w:val="21"/>
          <w:szCs w:val="32"/>
          <w:lang w:val="en-US" w:eastAsia="zh-CN"/>
        </w:rPr>
      </w:pPr>
    </w:p>
    <w:p>
      <w:pPr>
        <w:spacing w:after="0"/>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panose1 w:val="02020609040205080304"/>
    <w:charset w:val="80"/>
    <w:family w:val="auto"/>
    <w:pitch w:val="default"/>
    <w:sig w:usb0="A00002BF" w:usb1="68C7FCFB" w:usb2="00000010" w:usb3="00000000" w:csb0="400200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AF47C6"/>
    <w:multiLevelType w:val="singleLevel"/>
    <w:tmpl w:val="8EAF47C6"/>
    <w:lvl w:ilvl="0" w:tentative="0">
      <w:start w:val="1"/>
      <w:numFmt w:val="bullet"/>
      <w:lvlText w:val=""/>
      <w:lvlJc w:val="left"/>
      <w:pPr>
        <w:ind w:left="420" w:hanging="420"/>
      </w:pPr>
      <w:rPr>
        <w:rFonts w:hint="default" w:ascii="Wingdings" w:hAnsi="Wingdings"/>
      </w:rPr>
    </w:lvl>
  </w:abstractNum>
  <w:abstractNum w:abstractNumId="1">
    <w:nsid w:val="47752373"/>
    <w:multiLevelType w:val="multilevel"/>
    <w:tmpl w:val="47752373"/>
    <w:lvl w:ilvl="0" w:tentative="0">
      <w:start w:val="7"/>
      <w:numFmt w:val="decimal"/>
      <w:lvlText w:val="%1"/>
      <w:lvlJc w:val="left"/>
      <w:pPr>
        <w:ind w:left="570" w:hanging="570"/>
      </w:pPr>
      <w:rPr>
        <w:rFonts w:hint="default"/>
      </w:rPr>
    </w:lvl>
    <w:lvl w:ilvl="1" w:tentative="0">
      <w:start w:val="4"/>
      <w:numFmt w:val="decimal"/>
      <w:lvlText w:val="%1.%2"/>
      <w:lvlJc w:val="left"/>
      <w:pPr>
        <w:ind w:left="960" w:hanging="570"/>
      </w:pPr>
      <w:rPr>
        <w:rFonts w:hint="default"/>
      </w:rPr>
    </w:lvl>
    <w:lvl w:ilvl="2" w:tentative="0">
      <w:start w:val="1"/>
      <w:numFmt w:val="decimal"/>
      <w:lvlText w:val="%1.%2.%3"/>
      <w:lvlJc w:val="left"/>
      <w:pPr>
        <w:ind w:left="1500" w:hanging="720"/>
      </w:pPr>
      <w:rPr>
        <w:rFonts w:hint="default"/>
      </w:rPr>
    </w:lvl>
    <w:lvl w:ilvl="3" w:tentative="0">
      <w:start w:val="1"/>
      <w:numFmt w:val="decimal"/>
      <w:lvlText w:val="%1.%2.%3.%4"/>
      <w:lvlJc w:val="left"/>
      <w:pPr>
        <w:ind w:left="1890" w:hanging="720"/>
      </w:pPr>
      <w:rPr>
        <w:rFonts w:hint="default"/>
      </w:rPr>
    </w:lvl>
    <w:lvl w:ilvl="4" w:tentative="0">
      <w:start w:val="1"/>
      <w:numFmt w:val="decimal"/>
      <w:lvlText w:val="%1.%2.%3.%4.%5"/>
      <w:lvlJc w:val="left"/>
      <w:pPr>
        <w:ind w:left="2640" w:hanging="1080"/>
      </w:pPr>
      <w:rPr>
        <w:rFonts w:hint="default"/>
      </w:rPr>
    </w:lvl>
    <w:lvl w:ilvl="5" w:tentative="0">
      <w:start w:val="1"/>
      <w:numFmt w:val="decimal"/>
      <w:lvlText w:val="%1.%2.%3.%4.%5.%6"/>
      <w:lvlJc w:val="left"/>
      <w:pPr>
        <w:ind w:left="3030" w:hanging="1080"/>
      </w:pPr>
      <w:rPr>
        <w:rFonts w:hint="default"/>
      </w:rPr>
    </w:lvl>
    <w:lvl w:ilvl="6" w:tentative="0">
      <w:start w:val="1"/>
      <w:numFmt w:val="decimal"/>
      <w:lvlText w:val="%1.%2.%3.%4.%5.%6.%7"/>
      <w:lvlJc w:val="left"/>
      <w:pPr>
        <w:ind w:left="3780" w:hanging="1440"/>
      </w:pPr>
      <w:rPr>
        <w:rFonts w:hint="default"/>
      </w:rPr>
    </w:lvl>
    <w:lvl w:ilvl="7" w:tentative="0">
      <w:start w:val="1"/>
      <w:numFmt w:val="decimal"/>
      <w:lvlText w:val="%1.%2.%3.%4.%5.%6.%7.%8"/>
      <w:lvlJc w:val="left"/>
      <w:pPr>
        <w:ind w:left="4170" w:hanging="1440"/>
      </w:pPr>
      <w:rPr>
        <w:rFonts w:hint="default"/>
      </w:rPr>
    </w:lvl>
    <w:lvl w:ilvl="8" w:tentative="0">
      <w:start w:val="1"/>
      <w:numFmt w:val="decimal"/>
      <w:lvlText w:val="%1.%2.%3.%4.%5.%6.%7.%8.%9"/>
      <w:lvlJc w:val="left"/>
      <w:pPr>
        <w:ind w:left="49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5174"/>
    <w:rsid w:val="00005B85"/>
    <w:rsid w:val="00005D2D"/>
    <w:rsid w:val="000112C1"/>
    <w:rsid w:val="00014002"/>
    <w:rsid w:val="00015FDA"/>
    <w:rsid w:val="00017367"/>
    <w:rsid w:val="00022E4A"/>
    <w:rsid w:val="0002380E"/>
    <w:rsid w:val="000242E4"/>
    <w:rsid w:val="00025009"/>
    <w:rsid w:val="00030D25"/>
    <w:rsid w:val="00031BE9"/>
    <w:rsid w:val="00032A80"/>
    <w:rsid w:val="000337D8"/>
    <w:rsid w:val="00035983"/>
    <w:rsid w:val="00040E3E"/>
    <w:rsid w:val="000427FB"/>
    <w:rsid w:val="00043970"/>
    <w:rsid w:val="0004471E"/>
    <w:rsid w:val="00051DF4"/>
    <w:rsid w:val="00052571"/>
    <w:rsid w:val="00052B2E"/>
    <w:rsid w:val="00060B8D"/>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67E7"/>
    <w:rsid w:val="00097D3C"/>
    <w:rsid w:val="000A03DA"/>
    <w:rsid w:val="000A1243"/>
    <w:rsid w:val="000A2204"/>
    <w:rsid w:val="000A6394"/>
    <w:rsid w:val="000B28F2"/>
    <w:rsid w:val="000B52EE"/>
    <w:rsid w:val="000B556C"/>
    <w:rsid w:val="000B7FED"/>
    <w:rsid w:val="000C038A"/>
    <w:rsid w:val="000C09EC"/>
    <w:rsid w:val="000C0A75"/>
    <w:rsid w:val="000C125D"/>
    <w:rsid w:val="000C270B"/>
    <w:rsid w:val="000C63E2"/>
    <w:rsid w:val="000C6598"/>
    <w:rsid w:val="000C6D57"/>
    <w:rsid w:val="000C7712"/>
    <w:rsid w:val="000D16FF"/>
    <w:rsid w:val="000D32F3"/>
    <w:rsid w:val="000D36B1"/>
    <w:rsid w:val="000D44B3"/>
    <w:rsid w:val="000D4E43"/>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2326"/>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2C1A"/>
    <w:rsid w:val="001A67BC"/>
    <w:rsid w:val="001A7B60"/>
    <w:rsid w:val="001B52F0"/>
    <w:rsid w:val="001B5E49"/>
    <w:rsid w:val="001B72AF"/>
    <w:rsid w:val="001B7A65"/>
    <w:rsid w:val="001C0EDB"/>
    <w:rsid w:val="001C2DD2"/>
    <w:rsid w:val="001C3254"/>
    <w:rsid w:val="001C57C5"/>
    <w:rsid w:val="001C5F1F"/>
    <w:rsid w:val="001D4554"/>
    <w:rsid w:val="001D7EFA"/>
    <w:rsid w:val="001E07C5"/>
    <w:rsid w:val="001E1A19"/>
    <w:rsid w:val="001E2981"/>
    <w:rsid w:val="001E41F3"/>
    <w:rsid w:val="001E6E98"/>
    <w:rsid w:val="001F0C35"/>
    <w:rsid w:val="001F5559"/>
    <w:rsid w:val="001F6394"/>
    <w:rsid w:val="001F742D"/>
    <w:rsid w:val="00200A42"/>
    <w:rsid w:val="002018B2"/>
    <w:rsid w:val="00201EB3"/>
    <w:rsid w:val="00202046"/>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743"/>
    <w:rsid w:val="002208B3"/>
    <w:rsid w:val="002240CF"/>
    <w:rsid w:val="0022453C"/>
    <w:rsid w:val="002268C9"/>
    <w:rsid w:val="002302EE"/>
    <w:rsid w:val="00232AEC"/>
    <w:rsid w:val="00232EF3"/>
    <w:rsid w:val="0023626A"/>
    <w:rsid w:val="00236F52"/>
    <w:rsid w:val="00237FC1"/>
    <w:rsid w:val="00241CAB"/>
    <w:rsid w:val="00242A8D"/>
    <w:rsid w:val="00251AB8"/>
    <w:rsid w:val="00251F06"/>
    <w:rsid w:val="00251FD3"/>
    <w:rsid w:val="0025498E"/>
    <w:rsid w:val="0026004D"/>
    <w:rsid w:val="00263EF8"/>
    <w:rsid w:val="00264026"/>
    <w:rsid w:val="002640DD"/>
    <w:rsid w:val="002642F1"/>
    <w:rsid w:val="00265400"/>
    <w:rsid w:val="00270E98"/>
    <w:rsid w:val="002734C2"/>
    <w:rsid w:val="00275D12"/>
    <w:rsid w:val="002801EF"/>
    <w:rsid w:val="00282522"/>
    <w:rsid w:val="00283A14"/>
    <w:rsid w:val="002842E0"/>
    <w:rsid w:val="00284FEB"/>
    <w:rsid w:val="00285D13"/>
    <w:rsid w:val="002860C4"/>
    <w:rsid w:val="002A0D3D"/>
    <w:rsid w:val="002A3BE2"/>
    <w:rsid w:val="002A3EB3"/>
    <w:rsid w:val="002A433F"/>
    <w:rsid w:val="002A5534"/>
    <w:rsid w:val="002B07A1"/>
    <w:rsid w:val="002B1627"/>
    <w:rsid w:val="002B2344"/>
    <w:rsid w:val="002B2F22"/>
    <w:rsid w:val="002B463A"/>
    <w:rsid w:val="002B5582"/>
    <w:rsid w:val="002B5741"/>
    <w:rsid w:val="002C3A5F"/>
    <w:rsid w:val="002C5370"/>
    <w:rsid w:val="002C585F"/>
    <w:rsid w:val="002C6AE4"/>
    <w:rsid w:val="002C7829"/>
    <w:rsid w:val="002D0C4E"/>
    <w:rsid w:val="002D22CD"/>
    <w:rsid w:val="002D38A0"/>
    <w:rsid w:val="002D3CFF"/>
    <w:rsid w:val="002D5633"/>
    <w:rsid w:val="002E1684"/>
    <w:rsid w:val="002E472E"/>
    <w:rsid w:val="002E48E0"/>
    <w:rsid w:val="002E5B24"/>
    <w:rsid w:val="002E67B5"/>
    <w:rsid w:val="002F2723"/>
    <w:rsid w:val="002F4A8E"/>
    <w:rsid w:val="002F7186"/>
    <w:rsid w:val="00301A77"/>
    <w:rsid w:val="003036A4"/>
    <w:rsid w:val="00305409"/>
    <w:rsid w:val="003078E5"/>
    <w:rsid w:val="003122DE"/>
    <w:rsid w:val="0031355F"/>
    <w:rsid w:val="00317DA5"/>
    <w:rsid w:val="00320D72"/>
    <w:rsid w:val="00322D48"/>
    <w:rsid w:val="0032491E"/>
    <w:rsid w:val="003258E9"/>
    <w:rsid w:val="00332248"/>
    <w:rsid w:val="00336422"/>
    <w:rsid w:val="003375A7"/>
    <w:rsid w:val="00341528"/>
    <w:rsid w:val="00345797"/>
    <w:rsid w:val="003470DB"/>
    <w:rsid w:val="003478AA"/>
    <w:rsid w:val="0035543A"/>
    <w:rsid w:val="00355F92"/>
    <w:rsid w:val="00357585"/>
    <w:rsid w:val="00357FEA"/>
    <w:rsid w:val="003609EF"/>
    <w:rsid w:val="00361144"/>
    <w:rsid w:val="0036231A"/>
    <w:rsid w:val="003637CF"/>
    <w:rsid w:val="00366441"/>
    <w:rsid w:val="00374340"/>
    <w:rsid w:val="00374DD4"/>
    <w:rsid w:val="00377B11"/>
    <w:rsid w:val="003801AA"/>
    <w:rsid w:val="00381239"/>
    <w:rsid w:val="003831FF"/>
    <w:rsid w:val="003836EA"/>
    <w:rsid w:val="0039186C"/>
    <w:rsid w:val="00395385"/>
    <w:rsid w:val="00395392"/>
    <w:rsid w:val="0039628E"/>
    <w:rsid w:val="0039789F"/>
    <w:rsid w:val="003A02D7"/>
    <w:rsid w:val="003A036B"/>
    <w:rsid w:val="003A1771"/>
    <w:rsid w:val="003A2A60"/>
    <w:rsid w:val="003A526E"/>
    <w:rsid w:val="003A5459"/>
    <w:rsid w:val="003A71D7"/>
    <w:rsid w:val="003A7483"/>
    <w:rsid w:val="003B30E2"/>
    <w:rsid w:val="003B36F8"/>
    <w:rsid w:val="003B378E"/>
    <w:rsid w:val="003C0B92"/>
    <w:rsid w:val="003C26AF"/>
    <w:rsid w:val="003C51A3"/>
    <w:rsid w:val="003C5E35"/>
    <w:rsid w:val="003D14E9"/>
    <w:rsid w:val="003D2C01"/>
    <w:rsid w:val="003D692F"/>
    <w:rsid w:val="003E0F2A"/>
    <w:rsid w:val="003E1462"/>
    <w:rsid w:val="003E1A36"/>
    <w:rsid w:val="003E3490"/>
    <w:rsid w:val="003E476E"/>
    <w:rsid w:val="003E6163"/>
    <w:rsid w:val="003F609E"/>
    <w:rsid w:val="00400EA6"/>
    <w:rsid w:val="00402F08"/>
    <w:rsid w:val="00404023"/>
    <w:rsid w:val="0040547C"/>
    <w:rsid w:val="00410371"/>
    <w:rsid w:val="00414C2E"/>
    <w:rsid w:val="00415EA0"/>
    <w:rsid w:val="00416CAA"/>
    <w:rsid w:val="00422CD3"/>
    <w:rsid w:val="004242F1"/>
    <w:rsid w:val="00426013"/>
    <w:rsid w:val="0042622E"/>
    <w:rsid w:val="00426470"/>
    <w:rsid w:val="0043124B"/>
    <w:rsid w:val="004343E7"/>
    <w:rsid w:val="00435B9F"/>
    <w:rsid w:val="004407F3"/>
    <w:rsid w:val="0045067D"/>
    <w:rsid w:val="004527B2"/>
    <w:rsid w:val="00453CA4"/>
    <w:rsid w:val="00453EA3"/>
    <w:rsid w:val="00453EFB"/>
    <w:rsid w:val="0045571A"/>
    <w:rsid w:val="00456D96"/>
    <w:rsid w:val="00460A85"/>
    <w:rsid w:val="00461B54"/>
    <w:rsid w:val="00462DF1"/>
    <w:rsid w:val="00464508"/>
    <w:rsid w:val="00465A77"/>
    <w:rsid w:val="00466555"/>
    <w:rsid w:val="00471AA5"/>
    <w:rsid w:val="0047273F"/>
    <w:rsid w:val="00473BD7"/>
    <w:rsid w:val="00473F2B"/>
    <w:rsid w:val="00475F4E"/>
    <w:rsid w:val="0047669E"/>
    <w:rsid w:val="00477429"/>
    <w:rsid w:val="004778A4"/>
    <w:rsid w:val="00482D02"/>
    <w:rsid w:val="0048449B"/>
    <w:rsid w:val="004906FE"/>
    <w:rsid w:val="00494041"/>
    <w:rsid w:val="004972D2"/>
    <w:rsid w:val="00497789"/>
    <w:rsid w:val="004A2F03"/>
    <w:rsid w:val="004A5A10"/>
    <w:rsid w:val="004A5E91"/>
    <w:rsid w:val="004A6D46"/>
    <w:rsid w:val="004B067D"/>
    <w:rsid w:val="004B0F6B"/>
    <w:rsid w:val="004B1AD2"/>
    <w:rsid w:val="004B3F6E"/>
    <w:rsid w:val="004B5285"/>
    <w:rsid w:val="004B5BCA"/>
    <w:rsid w:val="004B6C6F"/>
    <w:rsid w:val="004B7359"/>
    <w:rsid w:val="004B75B7"/>
    <w:rsid w:val="004C0448"/>
    <w:rsid w:val="004C0552"/>
    <w:rsid w:val="004C1657"/>
    <w:rsid w:val="004C2288"/>
    <w:rsid w:val="004C3ABF"/>
    <w:rsid w:val="004C4B9E"/>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06622"/>
    <w:rsid w:val="005077FD"/>
    <w:rsid w:val="0051217E"/>
    <w:rsid w:val="00514D4D"/>
    <w:rsid w:val="0051580D"/>
    <w:rsid w:val="00515B87"/>
    <w:rsid w:val="005176ED"/>
    <w:rsid w:val="00520FD7"/>
    <w:rsid w:val="0052135C"/>
    <w:rsid w:val="00522CC7"/>
    <w:rsid w:val="00523187"/>
    <w:rsid w:val="005303F8"/>
    <w:rsid w:val="00530492"/>
    <w:rsid w:val="005308D2"/>
    <w:rsid w:val="00530BC0"/>
    <w:rsid w:val="00531FEA"/>
    <w:rsid w:val="00542782"/>
    <w:rsid w:val="0054297F"/>
    <w:rsid w:val="00542FDE"/>
    <w:rsid w:val="00544CCB"/>
    <w:rsid w:val="005460EE"/>
    <w:rsid w:val="00547111"/>
    <w:rsid w:val="005528C5"/>
    <w:rsid w:val="005530BF"/>
    <w:rsid w:val="0055513F"/>
    <w:rsid w:val="00556B01"/>
    <w:rsid w:val="00561A8B"/>
    <w:rsid w:val="00565FEA"/>
    <w:rsid w:val="005661D8"/>
    <w:rsid w:val="00567123"/>
    <w:rsid w:val="0057095E"/>
    <w:rsid w:val="005754D4"/>
    <w:rsid w:val="00575F7E"/>
    <w:rsid w:val="005763F3"/>
    <w:rsid w:val="0057674B"/>
    <w:rsid w:val="00576A80"/>
    <w:rsid w:val="00576F40"/>
    <w:rsid w:val="00580621"/>
    <w:rsid w:val="00580D26"/>
    <w:rsid w:val="00580DD3"/>
    <w:rsid w:val="005818AF"/>
    <w:rsid w:val="00581C39"/>
    <w:rsid w:val="00585AD8"/>
    <w:rsid w:val="00586EAD"/>
    <w:rsid w:val="005915E6"/>
    <w:rsid w:val="005917D2"/>
    <w:rsid w:val="00591FA9"/>
    <w:rsid w:val="00592D74"/>
    <w:rsid w:val="00594E2D"/>
    <w:rsid w:val="00594E9A"/>
    <w:rsid w:val="0059700D"/>
    <w:rsid w:val="005A01D2"/>
    <w:rsid w:val="005A19F1"/>
    <w:rsid w:val="005A2D95"/>
    <w:rsid w:val="005A7C36"/>
    <w:rsid w:val="005B0106"/>
    <w:rsid w:val="005B013F"/>
    <w:rsid w:val="005B3270"/>
    <w:rsid w:val="005B3E3D"/>
    <w:rsid w:val="005B3F4A"/>
    <w:rsid w:val="005B4AB6"/>
    <w:rsid w:val="005B5946"/>
    <w:rsid w:val="005C230F"/>
    <w:rsid w:val="005C3025"/>
    <w:rsid w:val="005C36E1"/>
    <w:rsid w:val="005C6218"/>
    <w:rsid w:val="005C7488"/>
    <w:rsid w:val="005C79BD"/>
    <w:rsid w:val="005C7F51"/>
    <w:rsid w:val="005D21E1"/>
    <w:rsid w:val="005D223B"/>
    <w:rsid w:val="005D22E3"/>
    <w:rsid w:val="005D4CF7"/>
    <w:rsid w:val="005D5D1E"/>
    <w:rsid w:val="005D5EE8"/>
    <w:rsid w:val="005E037D"/>
    <w:rsid w:val="005E2206"/>
    <w:rsid w:val="005E2330"/>
    <w:rsid w:val="005E2C44"/>
    <w:rsid w:val="005E67F8"/>
    <w:rsid w:val="005E74D3"/>
    <w:rsid w:val="005E77A9"/>
    <w:rsid w:val="005E7EAE"/>
    <w:rsid w:val="005F0C09"/>
    <w:rsid w:val="005F1409"/>
    <w:rsid w:val="005F391A"/>
    <w:rsid w:val="005F4466"/>
    <w:rsid w:val="005F4843"/>
    <w:rsid w:val="005F7566"/>
    <w:rsid w:val="00602823"/>
    <w:rsid w:val="00606963"/>
    <w:rsid w:val="00606BB9"/>
    <w:rsid w:val="00610539"/>
    <w:rsid w:val="006113EC"/>
    <w:rsid w:val="00613E00"/>
    <w:rsid w:val="00621188"/>
    <w:rsid w:val="00624618"/>
    <w:rsid w:val="006255AB"/>
    <w:rsid w:val="006257ED"/>
    <w:rsid w:val="00631220"/>
    <w:rsid w:val="006321A2"/>
    <w:rsid w:val="0063475B"/>
    <w:rsid w:val="00636311"/>
    <w:rsid w:val="00636DA6"/>
    <w:rsid w:val="006442D0"/>
    <w:rsid w:val="006551E9"/>
    <w:rsid w:val="00655450"/>
    <w:rsid w:val="00660C55"/>
    <w:rsid w:val="00663055"/>
    <w:rsid w:val="0066434E"/>
    <w:rsid w:val="00665AF6"/>
    <w:rsid w:val="00665C47"/>
    <w:rsid w:val="00667224"/>
    <w:rsid w:val="006779D5"/>
    <w:rsid w:val="00682978"/>
    <w:rsid w:val="00685D55"/>
    <w:rsid w:val="00692112"/>
    <w:rsid w:val="00693CB3"/>
    <w:rsid w:val="006954DE"/>
    <w:rsid w:val="00695808"/>
    <w:rsid w:val="006A0001"/>
    <w:rsid w:val="006A1BF7"/>
    <w:rsid w:val="006A3D51"/>
    <w:rsid w:val="006A41F6"/>
    <w:rsid w:val="006A5AA7"/>
    <w:rsid w:val="006A7941"/>
    <w:rsid w:val="006B2B4D"/>
    <w:rsid w:val="006B3E10"/>
    <w:rsid w:val="006B46FB"/>
    <w:rsid w:val="006B57DA"/>
    <w:rsid w:val="006C6BC0"/>
    <w:rsid w:val="006C6FE9"/>
    <w:rsid w:val="006C79CB"/>
    <w:rsid w:val="006D1A03"/>
    <w:rsid w:val="006D3EC9"/>
    <w:rsid w:val="006D62F4"/>
    <w:rsid w:val="006E0A37"/>
    <w:rsid w:val="006E21FB"/>
    <w:rsid w:val="006E6F78"/>
    <w:rsid w:val="006F0BA5"/>
    <w:rsid w:val="006F3D17"/>
    <w:rsid w:val="006F4B98"/>
    <w:rsid w:val="006F5A65"/>
    <w:rsid w:val="006F7ABB"/>
    <w:rsid w:val="007032E2"/>
    <w:rsid w:val="007057BD"/>
    <w:rsid w:val="00706F1F"/>
    <w:rsid w:val="00707240"/>
    <w:rsid w:val="007105EC"/>
    <w:rsid w:val="007206F9"/>
    <w:rsid w:val="00724C8C"/>
    <w:rsid w:val="00727180"/>
    <w:rsid w:val="00730927"/>
    <w:rsid w:val="00731918"/>
    <w:rsid w:val="007349E4"/>
    <w:rsid w:val="00735ACB"/>
    <w:rsid w:val="00736916"/>
    <w:rsid w:val="007408DC"/>
    <w:rsid w:val="00743584"/>
    <w:rsid w:val="007441F5"/>
    <w:rsid w:val="007474BE"/>
    <w:rsid w:val="00751858"/>
    <w:rsid w:val="00756855"/>
    <w:rsid w:val="00757805"/>
    <w:rsid w:val="00761445"/>
    <w:rsid w:val="007627FE"/>
    <w:rsid w:val="007718FB"/>
    <w:rsid w:val="00781117"/>
    <w:rsid w:val="00783D32"/>
    <w:rsid w:val="007860A7"/>
    <w:rsid w:val="00790503"/>
    <w:rsid w:val="00792342"/>
    <w:rsid w:val="00795141"/>
    <w:rsid w:val="0079641A"/>
    <w:rsid w:val="007974F6"/>
    <w:rsid w:val="007977A8"/>
    <w:rsid w:val="007A4446"/>
    <w:rsid w:val="007A48F2"/>
    <w:rsid w:val="007B33DA"/>
    <w:rsid w:val="007B512A"/>
    <w:rsid w:val="007B5269"/>
    <w:rsid w:val="007B5AF1"/>
    <w:rsid w:val="007C122E"/>
    <w:rsid w:val="007C13A5"/>
    <w:rsid w:val="007C2097"/>
    <w:rsid w:val="007C3A33"/>
    <w:rsid w:val="007D0DF1"/>
    <w:rsid w:val="007D2961"/>
    <w:rsid w:val="007D6A07"/>
    <w:rsid w:val="007D75B4"/>
    <w:rsid w:val="007E18B5"/>
    <w:rsid w:val="007E3E1F"/>
    <w:rsid w:val="007E3E89"/>
    <w:rsid w:val="007E4198"/>
    <w:rsid w:val="007E44B7"/>
    <w:rsid w:val="007E6CFD"/>
    <w:rsid w:val="007E6DEB"/>
    <w:rsid w:val="007F0F5F"/>
    <w:rsid w:val="007F2150"/>
    <w:rsid w:val="007F3489"/>
    <w:rsid w:val="007F400C"/>
    <w:rsid w:val="007F40BE"/>
    <w:rsid w:val="007F473F"/>
    <w:rsid w:val="007F47E2"/>
    <w:rsid w:val="007F6138"/>
    <w:rsid w:val="007F7259"/>
    <w:rsid w:val="00802829"/>
    <w:rsid w:val="00803516"/>
    <w:rsid w:val="00803928"/>
    <w:rsid w:val="008040A8"/>
    <w:rsid w:val="00806158"/>
    <w:rsid w:val="00811FB6"/>
    <w:rsid w:val="00815DE4"/>
    <w:rsid w:val="00816266"/>
    <w:rsid w:val="0081639A"/>
    <w:rsid w:val="0082288D"/>
    <w:rsid w:val="00824BDD"/>
    <w:rsid w:val="00825D55"/>
    <w:rsid w:val="008279FA"/>
    <w:rsid w:val="0083401F"/>
    <w:rsid w:val="008364B9"/>
    <w:rsid w:val="00836B6A"/>
    <w:rsid w:val="00841407"/>
    <w:rsid w:val="00842A24"/>
    <w:rsid w:val="00843A24"/>
    <w:rsid w:val="00852972"/>
    <w:rsid w:val="00854423"/>
    <w:rsid w:val="00855E83"/>
    <w:rsid w:val="00855FB7"/>
    <w:rsid w:val="008569AD"/>
    <w:rsid w:val="008577D3"/>
    <w:rsid w:val="008626E7"/>
    <w:rsid w:val="00863157"/>
    <w:rsid w:val="0086388E"/>
    <w:rsid w:val="008656CA"/>
    <w:rsid w:val="0086699B"/>
    <w:rsid w:val="00870EE7"/>
    <w:rsid w:val="00880D22"/>
    <w:rsid w:val="00884CEE"/>
    <w:rsid w:val="00885BB3"/>
    <w:rsid w:val="008863B9"/>
    <w:rsid w:val="00894A1D"/>
    <w:rsid w:val="00894D3D"/>
    <w:rsid w:val="00894FDF"/>
    <w:rsid w:val="008A1FEF"/>
    <w:rsid w:val="008A40D5"/>
    <w:rsid w:val="008A4496"/>
    <w:rsid w:val="008A45A6"/>
    <w:rsid w:val="008A554A"/>
    <w:rsid w:val="008A6229"/>
    <w:rsid w:val="008A6EC6"/>
    <w:rsid w:val="008B50CC"/>
    <w:rsid w:val="008B6DA6"/>
    <w:rsid w:val="008C0670"/>
    <w:rsid w:val="008C1297"/>
    <w:rsid w:val="008C181C"/>
    <w:rsid w:val="008C4668"/>
    <w:rsid w:val="008D38F5"/>
    <w:rsid w:val="008D71E4"/>
    <w:rsid w:val="008E1406"/>
    <w:rsid w:val="008E53B0"/>
    <w:rsid w:val="008E6BE9"/>
    <w:rsid w:val="008E76D3"/>
    <w:rsid w:val="008E7D8D"/>
    <w:rsid w:val="008F1DF6"/>
    <w:rsid w:val="008F3789"/>
    <w:rsid w:val="008F686C"/>
    <w:rsid w:val="008F7A38"/>
    <w:rsid w:val="00900C33"/>
    <w:rsid w:val="00902143"/>
    <w:rsid w:val="0090389D"/>
    <w:rsid w:val="00906505"/>
    <w:rsid w:val="00907AB1"/>
    <w:rsid w:val="00910B9B"/>
    <w:rsid w:val="00910F9A"/>
    <w:rsid w:val="009111B1"/>
    <w:rsid w:val="00913A12"/>
    <w:rsid w:val="009148DE"/>
    <w:rsid w:val="00916F47"/>
    <w:rsid w:val="009245C6"/>
    <w:rsid w:val="00930FEF"/>
    <w:rsid w:val="0093340F"/>
    <w:rsid w:val="00934211"/>
    <w:rsid w:val="009372EC"/>
    <w:rsid w:val="00941E30"/>
    <w:rsid w:val="00942EF5"/>
    <w:rsid w:val="009430BD"/>
    <w:rsid w:val="009438BA"/>
    <w:rsid w:val="00943E6F"/>
    <w:rsid w:val="009441B4"/>
    <w:rsid w:val="009449B3"/>
    <w:rsid w:val="00944A38"/>
    <w:rsid w:val="0094613A"/>
    <w:rsid w:val="00946DC8"/>
    <w:rsid w:val="00950442"/>
    <w:rsid w:val="00953A7A"/>
    <w:rsid w:val="00956B67"/>
    <w:rsid w:val="009605E4"/>
    <w:rsid w:val="00960F23"/>
    <w:rsid w:val="00962037"/>
    <w:rsid w:val="0096423E"/>
    <w:rsid w:val="0096706E"/>
    <w:rsid w:val="00970ACF"/>
    <w:rsid w:val="009728DD"/>
    <w:rsid w:val="00974EDA"/>
    <w:rsid w:val="009777D9"/>
    <w:rsid w:val="00981337"/>
    <w:rsid w:val="00982D2D"/>
    <w:rsid w:val="00983EFC"/>
    <w:rsid w:val="009844E7"/>
    <w:rsid w:val="00991B88"/>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48C8"/>
    <w:rsid w:val="009D1550"/>
    <w:rsid w:val="009D4201"/>
    <w:rsid w:val="009E016E"/>
    <w:rsid w:val="009E0968"/>
    <w:rsid w:val="009E3297"/>
    <w:rsid w:val="009E43A6"/>
    <w:rsid w:val="009E75D9"/>
    <w:rsid w:val="009F05EE"/>
    <w:rsid w:val="009F0E97"/>
    <w:rsid w:val="009F0EAD"/>
    <w:rsid w:val="009F15E6"/>
    <w:rsid w:val="009F2087"/>
    <w:rsid w:val="009F2633"/>
    <w:rsid w:val="009F277F"/>
    <w:rsid w:val="009F2DED"/>
    <w:rsid w:val="009F320E"/>
    <w:rsid w:val="009F5BC9"/>
    <w:rsid w:val="009F734F"/>
    <w:rsid w:val="00A053F9"/>
    <w:rsid w:val="00A06C34"/>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222E"/>
    <w:rsid w:val="00A34195"/>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5E67"/>
    <w:rsid w:val="00A65592"/>
    <w:rsid w:val="00A66B88"/>
    <w:rsid w:val="00A67EE4"/>
    <w:rsid w:val="00A73125"/>
    <w:rsid w:val="00A73155"/>
    <w:rsid w:val="00A7671C"/>
    <w:rsid w:val="00A77167"/>
    <w:rsid w:val="00A77C4C"/>
    <w:rsid w:val="00A8090E"/>
    <w:rsid w:val="00A81C58"/>
    <w:rsid w:val="00A837FD"/>
    <w:rsid w:val="00A92562"/>
    <w:rsid w:val="00A93BB8"/>
    <w:rsid w:val="00A93BBB"/>
    <w:rsid w:val="00AA26FB"/>
    <w:rsid w:val="00AA2CBC"/>
    <w:rsid w:val="00AA5723"/>
    <w:rsid w:val="00AB0A1C"/>
    <w:rsid w:val="00AB2DFB"/>
    <w:rsid w:val="00AB432D"/>
    <w:rsid w:val="00AB4E92"/>
    <w:rsid w:val="00AC1187"/>
    <w:rsid w:val="00AC5820"/>
    <w:rsid w:val="00AC6485"/>
    <w:rsid w:val="00AD1CD8"/>
    <w:rsid w:val="00AE05B3"/>
    <w:rsid w:val="00AE23C2"/>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31C"/>
    <w:rsid w:val="00B30B19"/>
    <w:rsid w:val="00B3506A"/>
    <w:rsid w:val="00B3671D"/>
    <w:rsid w:val="00B37B97"/>
    <w:rsid w:val="00B52D56"/>
    <w:rsid w:val="00B538A5"/>
    <w:rsid w:val="00B606B0"/>
    <w:rsid w:val="00B6196E"/>
    <w:rsid w:val="00B65A90"/>
    <w:rsid w:val="00B67B97"/>
    <w:rsid w:val="00B715F9"/>
    <w:rsid w:val="00B768B1"/>
    <w:rsid w:val="00B80014"/>
    <w:rsid w:val="00B82D72"/>
    <w:rsid w:val="00B84A2C"/>
    <w:rsid w:val="00B8728A"/>
    <w:rsid w:val="00B968C8"/>
    <w:rsid w:val="00B96B22"/>
    <w:rsid w:val="00B9751D"/>
    <w:rsid w:val="00BA3EC5"/>
    <w:rsid w:val="00BA4840"/>
    <w:rsid w:val="00BA51D9"/>
    <w:rsid w:val="00BA66B3"/>
    <w:rsid w:val="00BA737F"/>
    <w:rsid w:val="00BB0F28"/>
    <w:rsid w:val="00BB5DFC"/>
    <w:rsid w:val="00BB7A64"/>
    <w:rsid w:val="00BC18FA"/>
    <w:rsid w:val="00BC3967"/>
    <w:rsid w:val="00BC5D16"/>
    <w:rsid w:val="00BD244F"/>
    <w:rsid w:val="00BD279D"/>
    <w:rsid w:val="00BD4675"/>
    <w:rsid w:val="00BD47E2"/>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E8"/>
    <w:rsid w:val="00BF75B3"/>
    <w:rsid w:val="00C0002C"/>
    <w:rsid w:val="00C0525B"/>
    <w:rsid w:val="00C10330"/>
    <w:rsid w:val="00C1509B"/>
    <w:rsid w:val="00C201D1"/>
    <w:rsid w:val="00C21D76"/>
    <w:rsid w:val="00C229E9"/>
    <w:rsid w:val="00C2343C"/>
    <w:rsid w:val="00C23EC6"/>
    <w:rsid w:val="00C240EC"/>
    <w:rsid w:val="00C25669"/>
    <w:rsid w:val="00C26158"/>
    <w:rsid w:val="00C31922"/>
    <w:rsid w:val="00C36FFA"/>
    <w:rsid w:val="00C37BEE"/>
    <w:rsid w:val="00C40EF0"/>
    <w:rsid w:val="00C45717"/>
    <w:rsid w:val="00C52758"/>
    <w:rsid w:val="00C548DA"/>
    <w:rsid w:val="00C6362C"/>
    <w:rsid w:val="00C63D1B"/>
    <w:rsid w:val="00C651F1"/>
    <w:rsid w:val="00C66BA2"/>
    <w:rsid w:val="00C66C37"/>
    <w:rsid w:val="00C675F8"/>
    <w:rsid w:val="00C67D7E"/>
    <w:rsid w:val="00C752AC"/>
    <w:rsid w:val="00C755C4"/>
    <w:rsid w:val="00C75611"/>
    <w:rsid w:val="00C75E15"/>
    <w:rsid w:val="00C8018F"/>
    <w:rsid w:val="00C8274E"/>
    <w:rsid w:val="00C82A87"/>
    <w:rsid w:val="00C85133"/>
    <w:rsid w:val="00C870D2"/>
    <w:rsid w:val="00C87B9F"/>
    <w:rsid w:val="00C9099E"/>
    <w:rsid w:val="00C91219"/>
    <w:rsid w:val="00C91344"/>
    <w:rsid w:val="00C92EB4"/>
    <w:rsid w:val="00C95145"/>
    <w:rsid w:val="00C95985"/>
    <w:rsid w:val="00CA581D"/>
    <w:rsid w:val="00CB0FFA"/>
    <w:rsid w:val="00CB223B"/>
    <w:rsid w:val="00CB3714"/>
    <w:rsid w:val="00CB44FB"/>
    <w:rsid w:val="00CB463E"/>
    <w:rsid w:val="00CB63E0"/>
    <w:rsid w:val="00CB7C66"/>
    <w:rsid w:val="00CC02D4"/>
    <w:rsid w:val="00CC1707"/>
    <w:rsid w:val="00CC5026"/>
    <w:rsid w:val="00CC5B7A"/>
    <w:rsid w:val="00CC68D0"/>
    <w:rsid w:val="00CD757B"/>
    <w:rsid w:val="00CE1110"/>
    <w:rsid w:val="00CE5316"/>
    <w:rsid w:val="00CF2725"/>
    <w:rsid w:val="00CF718D"/>
    <w:rsid w:val="00D01172"/>
    <w:rsid w:val="00D03F9A"/>
    <w:rsid w:val="00D04D03"/>
    <w:rsid w:val="00D06D51"/>
    <w:rsid w:val="00D078E0"/>
    <w:rsid w:val="00D113A0"/>
    <w:rsid w:val="00D12540"/>
    <w:rsid w:val="00D204BE"/>
    <w:rsid w:val="00D20C54"/>
    <w:rsid w:val="00D24753"/>
    <w:rsid w:val="00D24991"/>
    <w:rsid w:val="00D26E67"/>
    <w:rsid w:val="00D3095F"/>
    <w:rsid w:val="00D32308"/>
    <w:rsid w:val="00D33BDD"/>
    <w:rsid w:val="00D363E2"/>
    <w:rsid w:val="00D41988"/>
    <w:rsid w:val="00D4245D"/>
    <w:rsid w:val="00D428CA"/>
    <w:rsid w:val="00D4593D"/>
    <w:rsid w:val="00D47049"/>
    <w:rsid w:val="00D50255"/>
    <w:rsid w:val="00D53650"/>
    <w:rsid w:val="00D54EB3"/>
    <w:rsid w:val="00D62E29"/>
    <w:rsid w:val="00D631C4"/>
    <w:rsid w:val="00D63DB4"/>
    <w:rsid w:val="00D66327"/>
    <w:rsid w:val="00D66520"/>
    <w:rsid w:val="00D715AE"/>
    <w:rsid w:val="00D718AA"/>
    <w:rsid w:val="00D77C56"/>
    <w:rsid w:val="00D80176"/>
    <w:rsid w:val="00D814A2"/>
    <w:rsid w:val="00D87558"/>
    <w:rsid w:val="00D90B46"/>
    <w:rsid w:val="00D94A75"/>
    <w:rsid w:val="00DA1D7D"/>
    <w:rsid w:val="00DA2C5F"/>
    <w:rsid w:val="00DA677D"/>
    <w:rsid w:val="00DB329F"/>
    <w:rsid w:val="00DB35E6"/>
    <w:rsid w:val="00DB3B01"/>
    <w:rsid w:val="00DC16B0"/>
    <w:rsid w:val="00DC6881"/>
    <w:rsid w:val="00DD247E"/>
    <w:rsid w:val="00DD4BB6"/>
    <w:rsid w:val="00DD4FBE"/>
    <w:rsid w:val="00DD583A"/>
    <w:rsid w:val="00DD731D"/>
    <w:rsid w:val="00DE34CF"/>
    <w:rsid w:val="00DE394D"/>
    <w:rsid w:val="00DE47C2"/>
    <w:rsid w:val="00DE68FC"/>
    <w:rsid w:val="00DF2A08"/>
    <w:rsid w:val="00DF7FA4"/>
    <w:rsid w:val="00E01B6E"/>
    <w:rsid w:val="00E02EEA"/>
    <w:rsid w:val="00E1105A"/>
    <w:rsid w:val="00E11C7F"/>
    <w:rsid w:val="00E12244"/>
    <w:rsid w:val="00E13F3D"/>
    <w:rsid w:val="00E141EC"/>
    <w:rsid w:val="00E1677E"/>
    <w:rsid w:val="00E211A4"/>
    <w:rsid w:val="00E237DB"/>
    <w:rsid w:val="00E25350"/>
    <w:rsid w:val="00E25B88"/>
    <w:rsid w:val="00E32935"/>
    <w:rsid w:val="00E34898"/>
    <w:rsid w:val="00E36A46"/>
    <w:rsid w:val="00E4469C"/>
    <w:rsid w:val="00E51CCC"/>
    <w:rsid w:val="00E51EC4"/>
    <w:rsid w:val="00E52C23"/>
    <w:rsid w:val="00E557AD"/>
    <w:rsid w:val="00E557D8"/>
    <w:rsid w:val="00E61681"/>
    <w:rsid w:val="00E62D45"/>
    <w:rsid w:val="00E62FBD"/>
    <w:rsid w:val="00E7016D"/>
    <w:rsid w:val="00E74B80"/>
    <w:rsid w:val="00E76DA0"/>
    <w:rsid w:val="00E7721C"/>
    <w:rsid w:val="00E8126C"/>
    <w:rsid w:val="00E8401A"/>
    <w:rsid w:val="00E86698"/>
    <w:rsid w:val="00E91236"/>
    <w:rsid w:val="00E920ED"/>
    <w:rsid w:val="00E95870"/>
    <w:rsid w:val="00EA3679"/>
    <w:rsid w:val="00EA72B9"/>
    <w:rsid w:val="00EB03F9"/>
    <w:rsid w:val="00EB09B7"/>
    <w:rsid w:val="00EB1005"/>
    <w:rsid w:val="00EB15FC"/>
    <w:rsid w:val="00EB2103"/>
    <w:rsid w:val="00EB2922"/>
    <w:rsid w:val="00EB3890"/>
    <w:rsid w:val="00EB67FA"/>
    <w:rsid w:val="00EB7A03"/>
    <w:rsid w:val="00EC1259"/>
    <w:rsid w:val="00EC1DB7"/>
    <w:rsid w:val="00EC2210"/>
    <w:rsid w:val="00EC2464"/>
    <w:rsid w:val="00EC6485"/>
    <w:rsid w:val="00ED20D3"/>
    <w:rsid w:val="00ED2A2B"/>
    <w:rsid w:val="00ED2B7C"/>
    <w:rsid w:val="00ED59A3"/>
    <w:rsid w:val="00ED6F90"/>
    <w:rsid w:val="00ED7B34"/>
    <w:rsid w:val="00EE0CD1"/>
    <w:rsid w:val="00EE2B0F"/>
    <w:rsid w:val="00EE3335"/>
    <w:rsid w:val="00EE7D7C"/>
    <w:rsid w:val="00EF06F7"/>
    <w:rsid w:val="00EF09C9"/>
    <w:rsid w:val="00EF1136"/>
    <w:rsid w:val="00EF406D"/>
    <w:rsid w:val="00EF5152"/>
    <w:rsid w:val="00EF7D2E"/>
    <w:rsid w:val="00F03327"/>
    <w:rsid w:val="00F033E3"/>
    <w:rsid w:val="00F14B0B"/>
    <w:rsid w:val="00F16230"/>
    <w:rsid w:val="00F21657"/>
    <w:rsid w:val="00F2180E"/>
    <w:rsid w:val="00F22BF5"/>
    <w:rsid w:val="00F25D98"/>
    <w:rsid w:val="00F2702A"/>
    <w:rsid w:val="00F300FB"/>
    <w:rsid w:val="00F30925"/>
    <w:rsid w:val="00F31452"/>
    <w:rsid w:val="00F31ED0"/>
    <w:rsid w:val="00F34651"/>
    <w:rsid w:val="00F37385"/>
    <w:rsid w:val="00F37D6E"/>
    <w:rsid w:val="00F44A0B"/>
    <w:rsid w:val="00F46F3A"/>
    <w:rsid w:val="00F46F47"/>
    <w:rsid w:val="00F478D8"/>
    <w:rsid w:val="00F50B6E"/>
    <w:rsid w:val="00F53DD4"/>
    <w:rsid w:val="00F54051"/>
    <w:rsid w:val="00F5500A"/>
    <w:rsid w:val="00F57C45"/>
    <w:rsid w:val="00F60BE1"/>
    <w:rsid w:val="00F67012"/>
    <w:rsid w:val="00F67ADA"/>
    <w:rsid w:val="00F80423"/>
    <w:rsid w:val="00F83017"/>
    <w:rsid w:val="00F86065"/>
    <w:rsid w:val="00F86442"/>
    <w:rsid w:val="00F86F0D"/>
    <w:rsid w:val="00F92139"/>
    <w:rsid w:val="00F938CA"/>
    <w:rsid w:val="00F96080"/>
    <w:rsid w:val="00F97834"/>
    <w:rsid w:val="00FA1359"/>
    <w:rsid w:val="00FA392A"/>
    <w:rsid w:val="00FA3AD8"/>
    <w:rsid w:val="00FA4604"/>
    <w:rsid w:val="00FA494B"/>
    <w:rsid w:val="00FA4955"/>
    <w:rsid w:val="00FA5FC3"/>
    <w:rsid w:val="00FB53A6"/>
    <w:rsid w:val="00FB582D"/>
    <w:rsid w:val="00FB6386"/>
    <w:rsid w:val="00FB7FDD"/>
    <w:rsid w:val="00FD230E"/>
    <w:rsid w:val="00FE0C18"/>
    <w:rsid w:val="00FE1699"/>
    <w:rsid w:val="00FE1E70"/>
    <w:rsid w:val="00FE1EC3"/>
    <w:rsid w:val="00FE2C6E"/>
    <w:rsid w:val="00FE2EE1"/>
    <w:rsid w:val="00FE310C"/>
    <w:rsid w:val="00FE38F4"/>
    <w:rsid w:val="00FE4EB0"/>
    <w:rsid w:val="00FF0EAD"/>
    <w:rsid w:val="00FF491C"/>
    <w:rsid w:val="00FF5DB4"/>
    <w:rsid w:val="06C37315"/>
    <w:rsid w:val="084F21C5"/>
    <w:rsid w:val="0BDF50C7"/>
    <w:rsid w:val="1C054B62"/>
    <w:rsid w:val="24595524"/>
    <w:rsid w:val="2ABE3908"/>
    <w:rsid w:val="2EE771A9"/>
    <w:rsid w:val="302309F4"/>
    <w:rsid w:val="54584311"/>
    <w:rsid w:val="565151A7"/>
    <w:rsid w:val="5CBB669C"/>
    <w:rsid w:val="60234225"/>
    <w:rsid w:val="608F172B"/>
    <w:rsid w:val="650C0037"/>
    <w:rsid w:val="659E32B1"/>
    <w:rsid w:val="66DA1A8E"/>
    <w:rsid w:val="6D4A2547"/>
    <w:rsid w:val="6EB22E1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widowControl w:val="0"/>
      <w:spacing w:after="0"/>
      <w:jc w:val="both"/>
    </w:pPr>
    <w:rPr>
      <w:rFonts w:eastAsia="黑体" w:asciiTheme="majorHAnsi" w:hAnsiTheme="majorHAnsi" w:cstheme="majorBidi"/>
      <w:kern w:val="2"/>
      <w:lang w:val="en-US" w:eastAsia="zh-CN"/>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0"/>
    <w:qFormat/>
    <w:uiPriority w:val="99"/>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bCs/>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99"/>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qFormat/>
    <w:uiPriority w:val="0"/>
    <w:rPr>
      <w:b/>
    </w:rPr>
  </w:style>
  <w:style w:type="paragraph" w:customStyle="1" w:styleId="56">
    <w:name w:val="TAC"/>
    <w:basedOn w:val="57"/>
    <w:qFormat/>
    <w:uiPriority w:val="0"/>
    <w:pPr>
      <w:jc w:val="center"/>
    </w:pPr>
  </w:style>
  <w:style w:type="paragraph" w:customStyle="1" w:styleId="57">
    <w:name w:val="TAL"/>
    <w:basedOn w:val="1"/>
    <w:qFormat/>
    <w:uiPriority w:val="0"/>
    <w:pPr>
      <w:keepNext/>
      <w:keepLines/>
      <w:spacing w:after="0"/>
    </w:pPr>
    <w:rPr>
      <w:rFonts w:ascii="Arial" w:hAnsi="Arial"/>
      <w:sz w:val="18"/>
    </w:rPr>
  </w:style>
  <w:style w:type="paragraph" w:customStyle="1" w:styleId="58">
    <w:name w:val="TF"/>
    <w:basedOn w:val="59"/>
    <w:link w:val="97"/>
    <w:qFormat/>
    <w:uiPriority w:val="0"/>
    <w:pPr>
      <w:keepNext w:val="0"/>
      <w:spacing w:before="0" w:after="240"/>
    </w:pPr>
  </w:style>
  <w:style w:type="paragraph" w:customStyle="1" w:styleId="59">
    <w:name w:val="TH"/>
    <w:basedOn w:val="1"/>
    <w:link w:val="89"/>
    <w:qFormat/>
    <w:uiPriority w:val="0"/>
    <w:pPr>
      <w:keepNext/>
      <w:keepLines/>
      <w:spacing w:before="60"/>
      <w:jc w:val="center"/>
    </w:pPr>
    <w:rPr>
      <w:rFonts w:ascii="Arial" w:hAnsi="Arial"/>
      <w:b/>
    </w:rPr>
  </w:style>
  <w:style w:type="paragraph" w:customStyle="1" w:styleId="60">
    <w:name w:val="NO"/>
    <w:basedOn w:val="1"/>
    <w:link w:val="88"/>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95"/>
    <w:qFormat/>
    <w:uiPriority w:val="0"/>
    <w:rPr>
      <w:color w:val="FF0000"/>
    </w:rPr>
  </w:style>
  <w:style w:type="paragraph" w:customStyle="1" w:styleId="79">
    <w:name w:val="B1"/>
    <w:basedOn w:val="14"/>
    <w:link w:val="87"/>
    <w:qFormat/>
    <w:uiPriority w:val="0"/>
  </w:style>
  <w:style w:type="paragraph" w:customStyle="1" w:styleId="80">
    <w:name w:val="B2"/>
    <w:basedOn w:val="13"/>
    <w:qFormat/>
    <w:uiPriority w:val="0"/>
  </w:style>
  <w:style w:type="paragraph" w:customStyle="1" w:styleId="81">
    <w:name w:val="B3"/>
    <w:basedOn w:val="12"/>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B1 Char"/>
    <w:link w:val="79"/>
    <w:qFormat/>
    <w:uiPriority w:val="0"/>
    <w:rPr>
      <w:rFonts w:ascii="Times New Roman" w:hAnsi="Times New Roman"/>
      <w:lang w:val="en-GB" w:eastAsia="en-US"/>
    </w:rPr>
  </w:style>
  <w:style w:type="character" w:customStyle="1" w:styleId="88">
    <w:name w:val="NO Char"/>
    <w:link w:val="60"/>
    <w:qFormat/>
    <w:uiPriority w:val="0"/>
    <w:rPr>
      <w:rFonts w:eastAsiaTheme="minorEastAsia"/>
      <w:lang w:val="en-GB" w:eastAsia="en-US"/>
    </w:rPr>
  </w:style>
  <w:style w:type="character" w:customStyle="1" w:styleId="89">
    <w:name w:val="TH Char"/>
    <w:link w:val="59"/>
    <w:qFormat/>
    <w:uiPriority w:val="0"/>
    <w:rPr>
      <w:rFonts w:ascii="Arial" w:hAnsi="Arial" w:eastAsiaTheme="minorEastAsia"/>
      <w:b/>
      <w:lang w:val="en-GB" w:eastAsia="en-US"/>
    </w:rPr>
  </w:style>
  <w:style w:type="character" w:customStyle="1" w:styleId="90">
    <w:name w:val="Comment Text Char"/>
    <w:basedOn w:val="46"/>
    <w:link w:val="30"/>
    <w:qFormat/>
    <w:uiPriority w:val="99"/>
    <w:rPr>
      <w:rFonts w:eastAsiaTheme="minorEastAsia"/>
      <w:lang w:val="en-GB" w:eastAsia="en-US"/>
    </w:rPr>
  </w:style>
  <w:style w:type="character" w:customStyle="1" w:styleId="91">
    <w:name w:val="Heading 3 Char"/>
    <w:basedOn w:val="46"/>
    <w:link w:val="4"/>
    <w:qFormat/>
    <w:uiPriority w:val="0"/>
    <w:rPr>
      <w:rFonts w:ascii="Arial" w:hAnsi="Arial" w:eastAsiaTheme="minorEastAsia"/>
      <w:sz w:val="28"/>
      <w:lang w:val="en-GB" w:eastAsia="en-US"/>
    </w:rPr>
  </w:style>
  <w:style w:type="character" w:customStyle="1" w:styleId="92">
    <w:name w:val="TH Zchn"/>
    <w:qFormat/>
    <w:uiPriority w:val="0"/>
    <w:rPr>
      <w:rFonts w:ascii="Arial" w:hAnsi="Arial" w:eastAsia="Times New Roman"/>
      <w:b/>
      <w:lang w:val="en-GB" w:eastAsia="en-GB"/>
    </w:rPr>
  </w:style>
  <w:style w:type="paragraph" w:customStyle="1" w:styleId="93">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94">
    <w:name w:val="Revision1"/>
    <w:hidden/>
    <w:semiHidden/>
    <w:qFormat/>
    <w:uiPriority w:val="99"/>
    <w:rPr>
      <w:rFonts w:ascii="Times New Roman" w:hAnsi="Times New Roman" w:cs="Times New Roman" w:eastAsiaTheme="minorEastAsia"/>
      <w:lang w:val="en-GB" w:eastAsia="en-US" w:bidi="ar-SA"/>
    </w:rPr>
  </w:style>
  <w:style w:type="character" w:customStyle="1" w:styleId="95">
    <w:name w:val="Editor's Note Char"/>
    <w:link w:val="78"/>
    <w:qFormat/>
    <w:uiPriority w:val="0"/>
    <w:rPr>
      <w:rFonts w:eastAsiaTheme="minorEastAsia"/>
      <w:color w:val="FF0000"/>
      <w:lang w:val="en-GB" w:eastAsia="en-US"/>
    </w:rPr>
  </w:style>
  <w:style w:type="paragraph" w:styleId="96">
    <w:name w:val="List Paragraph"/>
    <w:basedOn w:val="1"/>
    <w:qFormat/>
    <w:uiPriority w:val="34"/>
    <w:pPr>
      <w:ind w:left="720"/>
      <w:contextualSpacing/>
    </w:pPr>
  </w:style>
  <w:style w:type="character" w:customStyle="1" w:styleId="97">
    <w:name w:val="TF Char"/>
    <w:link w:val="58"/>
    <w:qFormat/>
    <w:uiPriority w:val="0"/>
    <w:rPr>
      <w:rFonts w:ascii="Arial" w:hAnsi="Arial" w:eastAsiaTheme="minorEastAsia"/>
      <w:b/>
      <w:lang w:val="en-GB" w:eastAsia="en-US"/>
    </w:rPr>
  </w:style>
  <w:style w:type="character" w:customStyle="1" w:styleId="98">
    <w:name w:val="Unresolved Mention1"/>
    <w:basedOn w:val="46"/>
    <w:semiHidden/>
    <w:unhideWhenUsed/>
    <w:qFormat/>
    <w:uiPriority w:val="99"/>
    <w:rPr>
      <w:color w:val="605E5C"/>
      <w:shd w:val="clear" w:color="auto" w:fill="E1DFDD"/>
    </w:rPr>
  </w:style>
  <w:style w:type="character" w:customStyle="1" w:styleId="99">
    <w:name w:val="normaltextrun"/>
    <w:basedOn w:val="4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C56385-5E65-4DA7-A334-E8B80891E34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980</Words>
  <Characters>5041</Characters>
  <Lines>114</Lines>
  <Paragraphs>81</Paragraphs>
  <TotalTime>33</TotalTime>
  <ScaleCrop>false</ScaleCrop>
  <LinksUpToDate>false</LinksUpToDate>
  <CharactersWithSpaces>5940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2023-02-09T02:50:00Z</dcterms:created>
  <dc:creator>Michael Sanders, John M Meredith</dc:creator>
  <cp:lastModifiedBy>CMCC01</cp:lastModifiedBy>
  <cp:lastPrinted>2411-12-31T15:59:00Z</cp:lastPrinted>
  <dcterms:modified xsi:type="dcterms:W3CDTF">2023-02-10T08:14:22Z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ICV">
    <vt:lpwstr>4404524A89C34E9390C7354BE0385E10</vt:lpwstr>
  </property>
  <property fmtid="{D5CDD505-2E9C-101B-9397-08002B2CF9AE}" pid="38" name="GrammarlyDocumentId">
    <vt:lpwstr>95e4b889abae1bd183caed3edcf77fe5e075cfec2695f7e443052456eb264ecc</vt:lpwstr>
  </property>
</Properties>
</file>